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3561C2" w:rsidRPr="00E21E4D" w14:paraId="36284EBA" w14:textId="77777777" w:rsidTr="00E21E4D">
        <w:trPr>
          <w:trHeight w:val="355"/>
        </w:trPr>
        <w:tc>
          <w:tcPr>
            <w:tcW w:w="9632" w:type="dxa"/>
            <w:tcBorders>
              <w:top w:val="nil"/>
              <w:left w:val="nil"/>
              <w:bottom w:val="nil"/>
              <w:right w:val="nil"/>
            </w:tcBorders>
            <w:shd w:val="clear" w:color="auto" w:fill="D9D9D9" w:themeFill="background1" w:themeFillShade="D9"/>
            <w:tcMar>
              <w:top w:w="80" w:type="dxa"/>
              <w:left w:w="80" w:type="dxa"/>
              <w:bottom w:w="80" w:type="dxa"/>
              <w:right w:w="80" w:type="dxa"/>
            </w:tcMar>
          </w:tcPr>
          <w:p w14:paraId="338CA87B" w14:textId="301A47FF" w:rsidR="003561C2" w:rsidRPr="00E21E4D" w:rsidRDefault="00E21E4D" w:rsidP="00E642FF">
            <w:pPr>
              <w:rPr>
                <w:rFonts w:hAnsi="Times New Roman" w:cs="Times New Roman"/>
                <w:b/>
              </w:rPr>
            </w:pPr>
            <w:r w:rsidRPr="00E21E4D">
              <w:rPr>
                <w:rFonts w:hAnsi="Times New Roman" w:cs="Times New Roman"/>
                <w:b/>
              </w:rPr>
              <w:t xml:space="preserve">Asignatura: </w:t>
            </w:r>
            <w:r w:rsidR="009C44E7">
              <w:rPr>
                <w:rFonts w:hAnsi="Times New Roman" w:cs="Times New Roman"/>
                <w:b/>
              </w:rPr>
              <w:t>El principio de elecciones libres y justas, sistemas de garantías y revisión judicial electoral/Principles of fair and free elections, systems of appel and electoral review</w:t>
            </w:r>
          </w:p>
        </w:tc>
      </w:tr>
    </w:tbl>
    <w:p w14:paraId="4113D528" w14:textId="77777777" w:rsidR="00E21E4D" w:rsidRPr="00E21E4D" w:rsidRDefault="00E21E4D" w:rsidP="00E21E4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entury Gothic" w:eastAsia="Times New Roman" w:hAnsi="Century Gothic" w:cs="Times New Roman"/>
          <w:sz w:val="19"/>
          <w:szCs w:val="19"/>
          <w:bdr w:val="none" w:sz="0" w:space="0" w:color="auto"/>
          <w:lang w:val="es-ES" w:eastAsia="es-ES"/>
        </w:rPr>
      </w:pPr>
      <w:r w:rsidRPr="00E21E4D">
        <w:rPr>
          <w:rFonts w:ascii="Century Gothic" w:eastAsia="Times New Roman" w:hAnsi="Century Gothic" w:cs="Times New Roman"/>
          <w:sz w:val="19"/>
          <w:szCs w:val="19"/>
          <w:bdr w:val="none" w:sz="0" w:space="0" w:color="auto"/>
          <w:lang w:val="es-ES" w:eastAsia="es-ES"/>
        </w:rPr>
        <w:t>Módulo 2. Especialización (segundo cuatrimestre).</w:t>
      </w:r>
    </w:p>
    <w:p w14:paraId="30E54237" w14:textId="77777777" w:rsidR="00E21E4D" w:rsidRPr="00E21E4D" w:rsidRDefault="00E21E4D" w:rsidP="00E21E4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entury Gothic" w:eastAsia="Times New Roman" w:hAnsi="Century Gothic" w:cs="Times New Roman"/>
          <w:sz w:val="19"/>
          <w:szCs w:val="19"/>
          <w:bdr w:val="none" w:sz="0" w:space="0" w:color="auto"/>
          <w:lang w:val="es-ES" w:eastAsia="es-ES"/>
        </w:rPr>
      </w:pPr>
      <w:r w:rsidRPr="00E21E4D">
        <w:rPr>
          <w:rFonts w:ascii="Century Gothic" w:eastAsia="Times New Roman" w:hAnsi="Century Gothic" w:cs="Times New Roman"/>
          <w:sz w:val="19"/>
          <w:szCs w:val="19"/>
          <w:bdr w:val="none" w:sz="0" w:space="0" w:color="auto"/>
          <w:lang w:val="es-ES" w:eastAsia="es-ES"/>
        </w:rPr>
        <w:t>Materia: Derecho Parlamentario.</w:t>
      </w:r>
    </w:p>
    <w:p w14:paraId="6629F3EC" w14:textId="77777777" w:rsidR="00E21E4D" w:rsidRPr="00E21E4D" w:rsidRDefault="00E21E4D" w:rsidP="00E21E4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entury Gothic" w:eastAsia="Times New Roman" w:hAnsi="Century Gothic" w:cs="Times New Roman"/>
          <w:sz w:val="19"/>
          <w:szCs w:val="19"/>
          <w:bdr w:val="none" w:sz="0" w:space="0" w:color="auto"/>
          <w:lang w:val="es-ES" w:eastAsia="es-ES"/>
        </w:rPr>
      </w:pPr>
      <w:r w:rsidRPr="00E21E4D">
        <w:rPr>
          <w:rFonts w:ascii="Century Gothic" w:eastAsia="Times New Roman" w:hAnsi="Century Gothic" w:cs="Times New Roman"/>
          <w:sz w:val="19"/>
          <w:szCs w:val="19"/>
          <w:bdr w:val="none" w:sz="0" w:space="0" w:color="auto"/>
          <w:lang w:val="es-ES" w:eastAsia="es-ES"/>
        </w:rPr>
        <w:t>Tipo de asignatura: Optativa.</w:t>
      </w:r>
    </w:p>
    <w:p w14:paraId="727F8A8F" w14:textId="77777777" w:rsidR="00E21E4D" w:rsidRPr="00E21E4D" w:rsidRDefault="00E21E4D" w:rsidP="00E21E4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entury Gothic" w:eastAsia="Times New Roman" w:hAnsi="Century Gothic" w:cs="Times New Roman"/>
          <w:sz w:val="19"/>
          <w:szCs w:val="19"/>
          <w:bdr w:val="none" w:sz="0" w:space="0" w:color="auto"/>
          <w:lang w:val="es-ES" w:eastAsia="es-ES"/>
        </w:rPr>
      </w:pPr>
      <w:r w:rsidRPr="00E21E4D">
        <w:rPr>
          <w:rFonts w:ascii="Century Gothic" w:eastAsia="Times New Roman" w:hAnsi="Century Gothic" w:cs="Times New Roman"/>
          <w:sz w:val="19"/>
          <w:szCs w:val="19"/>
          <w:bdr w:val="none" w:sz="0" w:space="0" w:color="auto"/>
          <w:lang w:val="es-ES" w:eastAsia="es-ES"/>
        </w:rPr>
        <w:t>Créditos: 6 ECTS</w:t>
      </w:r>
    </w:p>
    <w:p w14:paraId="21F38A62" w14:textId="16B338B3" w:rsidR="00E21E4D" w:rsidRDefault="00E21E4D" w:rsidP="00E21E4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entury Gothic" w:eastAsia="Times New Roman" w:hAnsi="Century Gothic" w:cs="Times New Roman"/>
          <w:sz w:val="19"/>
          <w:szCs w:val="19"/>
          <w:bdr w:val="none" w:sz="0" w:space="0" w:color="auto"/>
          <w:lang w:val="es-ES" w:eastAsia="es-ES"/>
        </w:rPr>
      </w:pPr>
      <w:r w:rsidRPr="00E21E4D">
        <w:rPr>
          <w:rFonts w:ascii="Century Gothic" w:eastAsia="Times New Roman" w:hAnsi="Century Gothic" w:cs="Times New Roman"/>
          <w:sz w:val="19"/>
          <w:szCs w:val="19"/>
          <w:bdr w:val="none" w:sz="0" w:space="0" w:color="auto"/>
          <w:lang w:val="es-ES" w:eastAsia="es-ES"/>
        </w:rPr>
        <w:t>Profesores:</w:t>
      </w:r>
    </w:p>
    <w:p w14:paraId="7492F368" w14:textId="332DE46A" w:rsidR="00E21E4D" w:rsidRDefault="00E21E4D" w:rsidP="00E21E4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ind w:left="720"/>
        <w:jc w:val="both"/>
        <w:rPr>
          <w:rFonts w:ascii="Century Gothic" w:eastAsia="Times New Roman" w:hAnsi="Century Gothic" w:cs="Times New Roman"/>
          <w:sz w:val="19"/>
          <w:szCs w:val="19"/>
          <w:bdr w:val="none" w:sz="0" w:space="0" w:color="auto"/>
          <w:lang w:val="es-ES" w:eastAsia="es-ES"/>
        </w:rPr>
      </w:pPr>
      <w:r>
        <w:rPr>
          <w:rFonts w:ascii="Century Gothic" w:eastAsia="Times New Roman" w:hAnsi="Century Gothic" w:cs="Times New Roman"/>
          <w:sz w:val="19"/>
          <w:szCs w:val="19"/>
          <w:bdr w:val="none" w:sz="0" w:space="0" w:color="auto"/>
          <w:lang w:val="es-ES" w:eastAsia="es-ES"/>
        </w:rPr>
        <w:t xml:space="preserve">Prof. Dr. </w:t>
      </w:r>
      <w:r w:rsidR="00492A8D">
        <w:rPr>
          <w:rFonts w:ascii="Century Gothic" w:eastAsia="Times New Roman" w:hAnsi="Century Gothic" w:cs="Times New Roman"/>
          <w:sz w:val="19"/>
          <w:szCs w:val="19"/>
          <w:bdr w:val="none" w:sz="0" w:space="0" w:color="auto"/>
          <w:lang w:val="es-ES" w:eastAsia="es-ES"/>
        </w:rPr>
        <w:t>Ángel José Sánchez Navarro</w:t>
      </w:r>
      <w:r>
        <w:rPr>
          <w:rFonts w:ascii="Century Gothic" w:eastAsia="Times New Roman" w:hAnsi="Century Gothic" w:cs="Times New Roman"/>
          <w:sz w:val="19"/>
          <w:szCs w:val="19"/>
          <w:bdr w:val="none" w:sz="0" w:space="0" w:color="auto"/>
          <w:lang w:val="es-ES" w:eastAsia="es-ES"/>
        </w:rPr>
        <w:t xml:space="preserve"> (coordinador)</w:t>
      </w:r>
    </w:p>
    <w:p w14:paraId="02A096CB" w14:textId="4C1A116C" w:rsidR="00492A8D" w:rsidRDefault="00492A8D" w:rsidP="00492A8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cs="Times New Roman"/>
          <w:sz w:val="19"/>
          <w:szCs w:val="19"/>
          <w:bdr w:val="none" w:sz="0" w:space="0" w:color="auto"/>
          <w:lang w:val="es-ES" w:eastAsia="es-ES"/>
        </w:rPr>
      </w:pPr>
      <w:r>
        <w:rPr>
          <w:rFonts w:ascii="Century Gothic" w:eastAsia="Times New Roman" w:hAnsi="Century Gothic" w:cs="Times New Roman"/>
          <w:sz w:val="19"/>
          <w:szCs w:val="19"/>
          <w:bdr w:val="none" w:sz="0" w:space="0" w:color="auto"/>
          <w:lang w:val="es-ES" w:eastAsia="es-ES"/>
        </w:rPr>
        <w:t>Prof. Dr. Manuel Delgado Iribarren</w:t>
      </w:r>
    </w:p>
    <w:p w14:paraId="1C898A43" w14:textId="3BB98B88" w:rsidR="00E21E4D" w:rsidRPr="00E21E4D" w:rsidRDefault="00492A8D" w:rsidP="00E21E4D">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ind w:left="720"/>
        <w:jc w:val="both"/>
        <w:rPr>
          <w:rFonts w:ascii="Century Gothic" w:eastAsia="Times New Roman" w:hAnsi="Century Gothic" w:cs="Times New Roman"/>
          <w:sz w:val="19"/>
          <w:szCs w:val="19"/>
          <w:bdr w:val="none" w:sz="0" w:space="0" w:color="auto"/>
          <w:lang w:val="es-ES" w:eastAsia="es-ES"/>
        </w:rPr>
      </w:pPr>
      <w:r>
        <w:rPr>
          <w:rFonts w:ascii="Century Gothic" w:eastAsia="Times New Roman" w:hAnsi="Century Gothic" w:cs="Times New Roman"/>
          <w:sz w:val="19"/>
          <w:szCs w:val="19"/>
          <w:bdr w:val="none" w:sz="0" w:space="0" w:color="auto"/>
          <w:lang w:val="es-ES" w:eastAsia="es-ES"/>
        </w:rPr>
        <w:t>Profª. Dr</w:t>
      </w:r>
      <w:r w:rsidR="00DD5F96">
        <w:rPr>
          <w:rFonts w:ascii="Century Gothic" w:eastAsia="Times New Roman" w:hAnsi="Century Gothic" w:cs="Times New Roman"/>
          <w:sz w:val="19"/>
          <w:szCs w:val="19"/>
          <w:bdr w:val="none" w:sz="0" w:space="0" w:color="auto"/>
          <w:lang w:val="es-ES" w:eastAsia="es-ES"/>
        </w:rPr>
        <w:t>a</w:t>
      </w:r>
      <w:r>
        <w:rPr>
          <w:rFonts w:ascii="Century Gothic" w:eastAsia="Times New Roman" w:hAnsi="Century Gothic" w:cs="Times New Roman"/>
          <w:sz w:val="19"/>
          <w:szCs w:val="19"/>
          <w:bdr w:val="none" w:sz="0" w:space="0" w:color="auto"/>
          <w:lang w:val="es-ES" w:eastAsia="es-ES"/>
        </w:rPr>
        <w:t>. María Garrote de Marcos</w:t>
      </w:r>
    </w:p>
    <w:p w14:paraId="4ADBC1A0" w14:textId="77777777" w:rsidR="003561C2" w:rsidRPr="00E642FF" w:rsidRDefault="003561C2" w:rsidP="00E642FF">
      <w:pPr>
        <w:tabs>
          <w:tab w:val="left" w:pos="1576"/>
        </w:tabs>
        <w:jc w:val="both"/>
        <w:rPr>
          <w:rFonts w:eastAsia="Calibri" w:hAnsi="Times New Roman" w:cs="Times New Roman"/>
          <w:lang w:val="es-ES_tradnl"/>
        </w:rPr>
      </w:pPr>
    </w:p>
    <w:p w14:paraId="294AE3CD" w14:textId="2EA03CC2" w:rsidR="0045014F" w:rsidRPr="00E21E4D" w:rsidRDefault="00E21E4D" w:rsidP="00E642FF">
      <w:pPr>
        <w:jc w:val="both"/>
        <w:rPr>
          <w:rFonts w:hAnsi="Times New Roman" w:cs="Times New Roman"/>
          <w:b/>
          <w:lang w:val="es-ES"/>
        </w:rPr>
      </w:pPr>
      <w:r w:rsidRPr="00E21E4D">
        <w:rPr>
          <w:rFonts w:hAnsi="Times New Roman" w:cs="Times New Roman"/>
          <w:b/>
          <w:lang w:val="es-ES"/>
        </w:rPr>
        <w:t>Presentación</w:t>
      </w:r>
    </w:p>
    <w:p w14:paraId="54479DF1" w14:textId="122AE72A" w:rsidR="00E21E4D" w:rsidRDefault="00E21E4D" w:rsidP="00E642FF">
      <w:pPr>
        <w:jc w:val="both"/>
        <w:rPr>
          <w:rFonts w:hAnsi="Times New Roman" w:cs="Times New Roman"/>
          <w:lang w:val="es-ES"/>
        </w:rPr>
      </w:pPr>
    </w:p>
    <w:p w14:paraId="12F2EBE9" w14:textId="2FD18FD0" w:rsidR="00DD5F96" w:rsidRDefault="00DD5F96" w:rsidP="00E642FF">
      <w:pPr>
        <w:jc w:val="both"/>
        <w:rPr>
          <w:rFonts w:hAnsi="Times New Roman" w:cs="Times New Roman"/>
          <w:lang w:val="es-ES"/>
        </w:rPr>
      </w:pPr>
      <w:r>
        <w:rPr>
          <w:rFonts w:hAnsi="Times New Roman" w:cs="Times New Roman"/>
          <w:lang w:val="es-ES"/>
        </w:rPr>
        <w:t>La asignatura se centra en el principio de elecciones libres y justas, como un requisito central en la construcción de la democracia. La dinámica y dimensión programática de unas elecciones libres y justas como un medio institucional para la democracia representativa puede entenderse siguiendo estas tres premisas: “libres” en el sentido de participación y elección; y “justas” en el sentido de igualdad de participación y de voto, así como de imparcialidad y no discriminación. Con esto en mente, la asignatura comienza introduciendo los conceptos básicos relacionados con las instituciones electorales y la representación política. Se analizan los antecedentes de los estándares europeos y las buenas prácticas en asuntos electorales, y la importancia central de los sistemas, o la elección del sistema electoral, como un atributo del proceso democrático. A continuación, se presenta más en profundidad el estudio de diversas cuestiones incluidas en el contenido de la asignatura con un enfoque práctico: en primer lugar, considerando el caso paradigmático del Tribunal Europeo de Derechos Humanos, se tratarán algunos de los principales problemas que se encuentran en el desarrollo legislativo, el debate político y el procedimiento electoral; y, en segundo lugar, utilizando el Informe Final de Misión</w:t>
      </w:r>
      <w:r w:rsidR="00503EC1">
        <w:rPr>
          <w:rFonts w:hAnsi="Times New Roman" w:cs="Times New Roman"/>
          <w:lang w:val="es-ES"/>
        </w:rPr>
        <w:t xml:space="preserve"> de</w:t>
      </w:r>
      <w:r>
        <w:rPr>
          <w:rFonts w:hAnsi="Times New Roman" w:cs="Times New Roman"/>
          <w:lang w:val="es-ES"/>
        </w:rPr>
        <w:t xml:space="preserve"> Observación Electoral </w:t>
      </w:r>
      <w:r w:rsidR="00503EC1">
        <w:rPr>
          <w:rFonts w:hAnsi="Times New Roman" w:cs="Times New Roman"/>
          <w:lang w:val="es-ES"/>
        </w:rPr>
        <w:t xml:space="preserve">de la OSCE/ODIHR para las elecciones generales españolas de 2015, se identificarán los retos y cuestiones problemáticas encontrados y se discutirán a fin de aplicar dichas herramientas en otras elecciones. </w:t>
      </w:r>
    </w:p>
    <w:p w14:paraId="2304DFCE" w14:textId="02FC2579" w:rsidR="00DD5F96" w:rsidRDefault="00DD5F96" w:rsidP="00E642FF">
      <w:pPr>
        <w:jc w:val="both"/>
        <w:rPr>
          <w:rFonts w:hAnsi="Times New Roman" w:cs="Times New Roman"/>
          <w:lang w:val="es-ES"/>
        </w:rPr>
      </w:pPr>
    </w:p>
    <w:p w14:paraId="1E3632A7" w14:textId="77777777" w:rsidR="00DD5F96" w:rsidRPr="00E21E4D" w:rsidRDefault="00DD5F96" w:rsidP="00E642FF">
      <w:pPr>
        <w:jc w:val="both"/>
        <w:rPr>
          <w:rFonts w:hAnsi="Times New Roman" w:cs="Times New Roman"/>
          <w:lang w:val="es-ES"/>
        </w:rPr>
      </w:pPr>
    </w:p>
    <w:p w14:paraId="4416F7D2" w14:textId="7DAA0C2A" w:rsidR="0083141E" w:rsidRPr="00F035FA" w:rsidRDefault="00F035FA" w:rsidP="00F035FA">
      <w:pPr>
        <w:jc w:val="both"/>
        <w:rPr>
          <w:rFonts w:hAnsi="Times New Roman" w:cs="Times New Roman"/>
          <w:b/>
          <w:lang w:val="es-ES"/>
        </w:rPr>
      </w:pPr>
      <w:r w:rsidRPr="00F035FA">
        <w:rPr>
          <w:rFonts w:hAnsi="Times New Roman" w:cs="Times New Roman"/>
          <w:b/>
          <w:lang w:val="es-ES"/>
        </w:rPr>
        <w:t>Objetivos</w:t>
      </w:r>
    </w:p>
    <w:p w14:paraId="6C28E31A" w14:textId="673D43AA" w:rsidR="00F035FA" w:rsidRPr="00B723F9" w:rsidRDefault="00F035FA" w:rsidP="00F035F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hAnsi="Times New Roman" w:cs="Times New Roman"/>
          <w:lang w:val="es-ES"/>
        </w:rPr>
      </w:pPr>
      <w:r w:rsidRPr="00B723F9">
        <w:rPr>
          <w:rFonts w:hAnsi="Times New Roman" w:cs="Times New Roman"/>
          <w:lang w:val="es-ES"/>
        </w:rPr>
        <w:t xml:space="preserve">Analizar </w:t>
      </w:r>
      <w:r w:rsidR="00503EC1">
        <w:rPr>
          <w:rFonts w:hAnsi="Times New Roman" w:cs="Times New Roman"/>
          <w:lang w:val="es-ES"/>
        </w:rPr>
        <w:t>la dinámica y dimensión programática de unas elecciones libres y justas.</w:t>
      </w:r>
    </w:p>
    <w:p w14:paraId="60A2B05D" w14:textId="7EA5E9DD" w:rsidR="00F035FA" w:rsidRPr="00B723F9" w:rsidRDefault="00F035FA" w:rsidP="00F035F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hAnsi="Times New Roman" w:cs="Times New Roman"/>
          <w:lang w:val="es-ES"/>
        </w:rPr>
      </w:pPr>
      <w:r w:rsidRPr="00B723F9">
        <w:rPr>
          <w:rFonts w:hAnsi="Times New Roman" w:cs="Times New Roman"/>
          <w:lang w:val="es-ES"/>
        </w:rPr>
        <w:t xml:space="preserve">Examinar </w:t>
      </w:r>
      <w:r w:rsidRPr="00B723F9">
        <w:rPr>
          <w:rFonts w:hAnsi="Times New Roman" w:cs="Times New Roman"/>
          <w:lang w:val="es-ES"/>
        </w:rPr>
        <w:t xml:space="preserve">los </w:t>
      </w:r>
      <w:r w:rsidR="00503EC1">
        <w:rPr>
          <w:rFonts w:hAnsi="Times New Roman" w:cs="Times New Roman"/>
          <w:lang w:val="es-ES"/>
        </w:rPr>
        <w:t xml:space="preserve">conceptos básicos relacionados con las instituciones electorales y la representación política. </w:t>
      </w:r>
    </w:p>
    <w:p w14:paraId="10715A57" w14:textId="601A86B6" w:rsidR="00F035FA" w:rsidRPr="00B723F9" w:rsidRDefault="00F035FA" w:rsidP="00F035F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hAnsi="Times New Roman" w:cs="Times New Roman"/>
          <w:lang w:val="es-ES"/>
        </w:rPr>
      </w:pPr>
      <w:r w:rsidRPr="00B723F9">
        <w:rPr>
          <w:rFonts w:hAnsi="Times New Roman" w:cs="Times New Roman"/>
          <w:lang w:val="es-ES"/>
        </w:rPr>
        <w:t>Abordar</w:t>
      </w:r>
      <w:r w:rsidR="00503EC1">
        <w:rPr>
          <w:rFonts w:hAnsi="Times New Roman" w:cs="Times New Roman"/>
          <w:lang w:val="es-ES"/>
        </w:rPr>
        <w:t xml:space="preserve"> los estándares europeos y las buenas prácticas en asuntos electorales</w:t>
      </w:r>
      <w:r w:rsidRPr="00B723F9">
        <w:rPr>
          <w:rFonts w:hAnsi="Times New Roman" w:cs="Times New Roman"/>
          <w:lang w:val="es-ES"/>
        </w:rPr>
        <w:t>.</w:t>
      </w:r>
    </w:p>
    <w:p w14:paraId="24E6309A" w14:textId="7A84564A" w:rsidR="00F035FA" w:rsidRPr="00B723F9" w:rsidRDefault="00503EC1" w:rsidP="00F035F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hAnsi="Times New Roman" w:cs="Times New Roman"/>
          <w:lang w:val="es-ES"/>
        </w:rPr>
      </w:pPr>
      <w:r>
        <w:rPr>
          <w:rFonts w:hAnsi="Times New Roman" w:cs="Times New Roman"/>
          <w:lang w:val="es-ES"/>
        </w:rPr>
        <w:t>Realizar un análisis práctico del Informe Final de Misión de Observación Electoral de la OSCE para las elecciones de España de 2015</w:t>
      </w:r>
      <w:r w:rsidR="00F035FA" w:rsidRPr="00B723F9">
        <w:rPr>
          <w:rFonts w:hAnsi="Times New Roman" w:cs="Times New Roman"/>
          <w:lang w:val="es-ES"/>
        </w:rPr>
        <w:t>.</w:t>
      </w:r>
    </w:p>
    <w:p w14:paraId="3C479A08" w14:textId="77777777" w:rsidR="0084183D" w:rsidRDefault="0084183D" w:rsidP="00E642FF">
      <w:pPr>
        <w:widowControl w:val="0"/>
        <w:jc w:val="both"/>
        <w:rPr>
          <w:rFonts w:hAnsi="Times New Roman" w:cs="Times New Roman"/>
          <w:color w:val="393939"/>
          <w:lang w:val="en-GB" w:eastAsia="es-ES_tradnl"/>
        </w:rPr>
      </w:pPr>
    </w:p>
    <w:p w14:paraId="3317651D" w14:textId="586AD0F1" w:rsidR="003561C2" w:rsidRPr="00F035FA" w:rsidRDefault="00F035FA" w:rsidP="00E642FF">
      <w:pPr>
        <w:widowControl w:val="0"/>
        <w:jc w:val="both"/>
        <w:rPr>
          <w:rFonts w:hAnsi="Times New Roman" w:cs="Times New Roman"/>
          <w:b/>
          <w:lang w:val="es-ES"/>
        </w:rPr>
      </w:pPr>
      <w:r w:rsidRPr="00F035FA">
        <w:rPr>
          <w:rFonts w:hAnsi="Times New Roman" w:cs="Times New Roman"/>
          <w:b/>
          <w:lang w:val="es-ES"/>
        </w:rPr>
        <w:t>Contenidos</w:t>
      </w:r>
    </w:p>
    <w:p w14:paraId="238EDF55" w14:textId="77777777" w:rsidR="003561C2" w:rsidRPr="00F035FA" w:rsidRDefault="003561C2" w:rsidP="00E642FF">
      <w:pPr>
        <w:widowControl w:val="0"/>
        <w:jc w:val="both"/>
        <w:rPr>
          <w:rFonts w:hAnsi="Times New Roman" w:cs="Times New Roman"/>
          <w:lang w:val="es-ES"/>
        </w:rPr>
      </w:pPr>
    </w:p>
    <w:p w14:paraId="6E186E2E" w14:textId="77777777" w:rsidR="00503EC1" w:rsidRDefault="00F035FA" w:rsidP="00503EC1">
      <w:pPr>
        <w:widowControl w:val="0"/>
        <w:jc w:val="both"/>
        <w:rPr>
          <w:rFonts w:hAnsi="Times New Roman" w:cs="Times New Roman"/>
          <w:b/>
          <w:bCs/>
          <w:lang w:val="es-ES"/>
        </w:rPr>
      </w:pPr>
      <w:r w:rsidRPr="00B723F9">
        <w:rPr>
          <w:rFonts w:hAnsi="Times New Roman" w:cs="Times New Roman"/>
          <w:b/>
          <w:bCs/>
          <w:lang w:val="es-ES"/>
        </w:rPr>
        <w:t xml:space="preserve">Bloque 1: </w:t>
      </w:r>
      <w:r w:rsidR="00503EC1">
        <w:rPr>
          <w:rFonts w:hAnsi="Times New Roman" w:cs="Times New Roman"/>
          <w:b/>
          <w:bCs/>
          <w:lang w:val="es-ES"/>
        </w:rPr>
        <w:t xml:space="preserve">Introducción: instituciones electorales y representación política. </w:t>
      </w:r>
    </w:p>
    <w:p w14:paraId="51830A33" w14:textId="77777777" w:rsidR="00503EC1" w:rsidRDefault="00503EC1" w:rsidP="00503EC1">
      <w:pPr>
        <w:widowControl w:val="0"/>
        <w:jc w:val="both"/>
        <w:rPr>
          <w:rFonts w:hAnsi="Times New Roman" w:cs="Times New Roman"/>
          <w:b/>
          <w:bCs/>
          <w:lang w:val="es-ES"/>
        </w:rPr>
      </w:pPr>
    </w:p>
    <w:p w14:paraId="16740159" w14:textId="2B8473E4" w:rsidR="00F035FA" w:rsidRDefault="00503EC1" w:rsidP="00503EC1">
      <w:pPr>
        <w:pStyle w:val="Prrafodelista"/>
        <w:widowControl w:val="0"/>
        <w:numPr>
          <w:ilvl w:val="0"/>
          <w:numId w:val="22"/>
        </w:numPr>
        <w:jc w:val="both"/>
        <w:rPr>
          <w:rFonts w:hAnsi="Times New Roman" w:cs="Times New Roman"/>
          <w:bCs/>
          <w:lang w:val="es-ES"/>
        </w:rPr>
      </w:pPr>
      <w:r w:rsidRPr="00503EC1">
        <w:rPr>
          <w:rFonts w:hAnsi="Times New Roman" w:cs="Times New Roman"/>
          <w:bCs/>
          <w:lang w:val="es-ES"/>
        </w:rPr>
        <w:t>Directrices en materia de elecciones</w:t>
      </w:r>
      <w:r>
        <w:rPr>
          <w:rFonts w:hAnsi="Times New Roman" w:cs="Times New Roman"/>
          <w:bCs/>
          <w:lang w:val="es-ES"/>
        </w:rPr>
        <w:t xml:space="preserve">: principios de la herencia electoral europea y condiciones para implementar dichos principios. </w:t>
      </w:r>
    </w:p>
    <w:p w14:paraId="135EC9CC" w14:textId="624C4D99" w:rsidR="00503EC1" w:rsidRPr="00503EC1" w:rsidRDefault="00503EC1" w:rsidP="00503EC1">
      <w:pPr>
        <w:pStyle w:val="Prrafodelista"/>
        <w:widowControl w:val="0"/>
        <w:numPr>
          <w:ilvl w:val="0"/>
          <w:numId w:val="22"/>
        </w:numPr>
        <w:jc w:val="both"/>
        <w:rPr>
          <w:rFonts w:hAnsi="Times New Roman" w:cs="Times New Roman"/>
          <w:bCs/>
          <w:lang w:val="es-ES"/>
        </w:rPr>
      </w:pPr>
      <w:r>
        <w:rPr>
          <w:rFonts w:hAnsi="Times New Roman" w:cs="Times New Roman"/>
          <w:bCs/>
          <w:lang w:val="es-ES"/>
        </w:rPr>
        <w:t xml:space="preserve">Sistemas electorales: las funciones de los sistemas electorales. Emisión del voto. Recuento. Distribución de escaños. </w:t>
      </w:r>
    </w:p>
    <w:p w14:paraId="1BE2B3B0" w14:textId="5FED976E" w:rsidR="00503EC1" w:rsidRDefault="00503EC1" w:rsidP="00503EC1">
      <w:pPr>
        <w:widowControl w:val="0"/>
        <w:jc w:val="both"/>
        <w:rPr>
          <w:rFonts w:hAnsi="Times New Roman" w:cs="Times New Roman"/>
          <w:b/>
          <w:bCs/>
          <w:lang w:val="es-ES"/>
        </w:rPr>
      </w:pPr>
    </w:p>
    <w:p w14:paraId="2A54BB12" w14:textId="77777777" w:rsidR="00503EC1" w:rsidRDefault="00503EC1" w:rsidP="00503EC1">
      <w:pPr>
        <w:widowControl w:val="0"/>
        <w:jc w:val="both"/>
      </w:pPr>
    </w:p>
    <w:p w14:paraId="48F795C5" w14:textId="7E225E67" w:rsidR="00F035FA" w:rsidRPr="00F035FA" w:rsidRDefault="00F035FA" w:rsidP="00F035FA">
      <w:pPr>
        <w:widowControl w:val="0"/>
        <w:jc w:val="both"/>
        <w:rPr>
          <w:rFonts w:hAnsi="Times New Roman" w:cs="Times New Roman"/>
          <w:b/>
          <w:bCs/>
          <w:color w:val="auto"/>
          <w:lang w:val="es-ES"/>
        </w:rPr>
      </w:pPr>
      <w:r w:rsidRPr="00F035FA">
        <w:rPr>
          <w:rFonts w:hAnsi="Times New Roman" w:cs="Times New Roman"/>
          <w:b/>
          <w:color w:val="auto"/>
          <w:lang w:val="es-ES" w:eastAsia="es-ES_tradnl"/>
        </w:rPr>
        <w:t xml:space="preserve">Bloque 2: </w:t>
      </w:r>
      <w:r w:rsidR="00503EC1">
        <w:rPr>
          <w:rFonts w:hAnsi="Times New Roman" w:cs="Times New Roman"/>
          <w:b/>
          <w:color w:val="auto"/>
          <w:lang w:val="es-ES" w:eastAsia="es-ES_tradnl"/>
        </w:rPr>
        <w:t>La doctrina del TEDH en materia de estándares electorales</w:t>
      </w:r>
      <w:r w:rsidRPr="00F035FA">
        <w:rPr>
          <w:rFonts w:hAnsi="Times New Roman" w:cs="Times New Roman"/>
          <w:b/>
          <w:color w:val="auto"/>
          <w:lang w:val="es-ES" w:eastAsia="es-ES_tradnl"/>
        </w:rPr>
        <w:t xml:space="preserve">. </w:t>
      </w:r>
    </w:p>
    <w:p w14:paraId="7207CBFB" w14:textId="77777777" w:rsidR="0084183D" w:rsidRDefault="0084183D" w:rsidP="00E642FF">
      <w:pPr>
        <w:jc w:val="both"/>
        <w:rPr>
          <w:rFonts w:hAnsi="Times New Roman" w:cs="Times New Roman"/>
          <w:color w:val="808080"/>
          <w:u w:color="808080"/>
          <w:lang w:val="en-US"/>
        </w:rPr>
      </w:pPr>
    </w:p>
    <w:p w14:paraId="30294B87" w14:textId="58914927" w:rsidR="0084183D" w:rsidRDefault="008B7DBA" w:rsidP="008B7DBA">
      <w:pPr>
        <w:pStyle w:val="Prrafodelista"/>
        <w:numPr>
          <w:ilvl w:val="0"/>
          <w:numId w:val="23"/>
        </w:numPr>
        <w:jc w:val="both"/>
      </w:pPr>
      <w:r>
        <w:t>Caso</w:t>
      </w:r>
      <w:r w:rsidR="00503EC1">
        <w:t xml:space="preserve"> Paunovic and Milivojevic v. Serbia (24/08/2016).</w:t>
      </w:r>
    </w:p>
    <w:p w14:paraId="41157199" w14:textId="1AA3F063" w:rsidR="00503EC1" w:rsidRDefault="00503EC1" w:rsidP="00E642FF">
      <w:pPr>
        <w:jc w:val="both"/>
      </w:pPr>
    </w:p>
    <w:p w14:paraId="2F226A07" w14:textId="730081F8" w:rsidR="008B7DBA" w:rsidRPr="008B7DBA" w:rsidRDefault="008B7DBA" w:rsidP="00E642FF">
      <w:pPr>
        <w:jc w:val="both"/>
        <w:rPr>
          <w:b/>
        </w:rPr>
      </w:pPr>
      <w:r w:rsidRPr="008B7DBA">
        <w:rPr>
          <w:b/>
        </w:rPr>
        <w:t>Bloque 3: Observaci</w:t>
      </w:r>
      <w:r w:rsidRPr="008B7DBA">
        <w:rPr>
          <w:b/>
        </w:rPr>
        <w:t>ó</w:t>
      </w:r>
      <w:r w:rsidRPr="008B7DBA">
        <w:rPr>
          <w:b/>
        </w:rPr>
        <w:t>n electoral y recomendaciones. Elecciones Espa</w:t>
      </w:r>
      <w:r w:rsidRPr="008B7DBA">
        <w:rPr>
          <w:b/>
        </w:rPr>
        <w:t>ñ</w:t>
      </w:r>
      <w:r w:rsidRPr="008B7DBA">
        <w:rPr>
          <w:b/>
        </w:rPr>
        <w:t>a, Diciembre 2015.</w:t>
      </w:r>
    </w:p>
    <w:p w14:paraId="7586ECB2" w14:textId="2ABA2D32" w:rsidR="008B7DBA" w:rsidRDefault="008B7DBA" w:rsidP="00E642FF">
      <w:pPr>
        <w:jc w:val="both"/>
      </w:pPr>
    </w:p>
    <w:p w14:paraId="4364A431" w14:textId="07FED9C0" w:rsidR="008B7DBA" w:rsidRDefault="008B7DBA" w:rsidP="008B7DBA">
      <w:pPr>
        <w:pStyle w:val="Prrafodelista"/>
        <w:numPr>
          <w:ilvl w:val="0"/>
          <w:numId w:val="23"/>
        </w:numPr>
        <w:jc w:val="both"/>
      </w:pPr>
      <w:r w:rsidRPr="008B7DBA">
        <w:rPr>
          <w:rFonts w:hAnsi="Times New Roman" w:cs="Times New Roman"/>
          <w:lang w:val="es-ES"/>
        </w:rPr>
        <w:t xml:space="preserve">Informe Final de Misión de Observación Electoral de la OSCE/ODIHR para las elecciones generales españolas de </w:t>
      </w:r>
      <w:r>
        <w:rPr>
          <w:rFonts w:hAnsi="Times New Roman" w:cs="Times New Roman"/>
          <w:lang w:val="es-ES"/>
        </w:rPr>
        <w:t xml:space="preserve">25 de febrero de </w:t>
      </w:r>
      <w:r w:rsidRPr="008B7DBA">
        <w:rPr>
          <w:rFonts w:hAnsi="Times New Roman" w:cs="Times New Roman"/>
          <w:lang w:val="es-ES"/>
        </w:rPr>
        <w:t>2015</w:t>
      </w:r>
    </w:p>
    <w:p w14:paraId="7FBD9157" w14:textId="77777777" w:rsidR="008B7DBA" w:rsidRDefault="008B7DBA" w:rsidP="00E642FF">
      <w:pPr>
        <w:jc w:val="both"/>
      </w:pPr>
    </w:p>
    <w:p w14:paraId="008F373E" w14:textId="77777777" w:rsidR="008B7DBA" w:rsidRDefault="008B7DBA" w:rsidP="00E642FF">
      <w:pPr>
        <w:jc w:val="both"/>
      </w:pPr>
    </w:p>
    <w:p w14:paraId="312EE019" w14:textId="77777777" w:rsidR="00F035FA" w:rsidRPr="00B723F9" w:rsidRDefault="00F035FA" w:rsidP="00F035FA">
      <w:pPr>
        <w:jc w:val="both"/>
        <w:rPr>
          <w:rFonts w:hAnsi="Times New Roman" w:cs="Times New Roman"/>
          <w:b/>
          <w:color w:val="auto"/>
          <w:u w:color="808080"/>
          <w:lang w:val="es-ES"/>
        </w:rPr>
      </w:pPr>
      <w:r w:rsidRPr="00B723F9">
        <w:rPr>
          <w:rFonts w:hAnsi="Times New Roman" w:cs="Times New Roman"/>
          <w:b/>
          <w:color w:val="auto"/>
          <w:u w:color="808080"/>
          <w:lang w:val="es-ES"/>
        </w:rPr>
        <w:t>Actividades formativas</w:t>
      </w:r>
    </w:p>
    <w:p w14:paraId="3CA54D8F" w14:textId="71D1328A"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 xml:space="preserve"> </w:t>
      </w:r>
    </w:p>
    <w:p w14:paraId="2C9D3480" w14:textId="77777777"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1) Actividades presenciales.</w:t>
      </w:r>
    </w:p>
    <w:p w14:paraId="25F3EC44" w14:textId="77777777" w:rsidR="00F035FA" w:rsidRPr="00B723F9" w:rsidRDefault="00F035FA" w:rsidP="00F035FA">
      <w:pPr>
        <w:jc w:val="both"/>
        <w:rPr>
          <w:rFonts w:hAnsi="Times New Roman" w:cs="Times New Roman"/>
          <w:color w:val="auto"/>
          <w:u w:color="808080"/>
          <w:lang w:val="es-ES"/>
        </w:rPr>
      </w:pPr>
    </w:p>
    <w:p w14:paraId="19BBB769" w14:textId="331AE9A1"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 xml:space="preserve">Las actividades presenciales consisten en un pequeño número de clases magistrales y clases prácticas, que se concentrarán en los meses de </w:t>
      </w:r>
      <w:r w:rsidR="00B723F9">
        <w:rPr>
          <w:rFonts w:hAnsi="Times New Roman" w:cs="Times New Roman"/>
          <w:color w:val="auto"/>
          <w:u w:color="808080"/>
          <w:lang w:val="es-ES"/>
        </w:rPr>
        <w:t>enero</w:t>
      </w:r>
      <w:r w:rsidRPr="00B723F9">
        <w:rPr>
          <w:rFonts w:hAnsi="Times New Roman" w:cs="Times New Roman"/>
          <w:color w:val="auto"/>
          <w:u w:color="808080"/>
          <w:lang w:val="es-ES"/>
        </w:rPr>
        <w:t xml:space="preserve"> a </w:t>
      </w:r>
      <w:r w:rsidR="00B723F9">
        <w:rPr>
          <w:rFonts w:hAnsi="Times New Roman" w:cs="Times New Roman"/>
          <w:color w:val="auto"/>
          <w:u w:color="808080"/>
          <w:lang w:val="es-ES"/>
        </w:rPr>
        <w:t>marzo</w:t>
      </w:r>
      <w:r w:rsidRPr="00B723F9">
        <w:rPr>
          <w:rFonts w:hAnsi="Times New Roman" w:cs="Times New Roman"/>
          <w:color w:val="auto"/>
          <w:u w:color="808080"/>
          <w:lang w:val="es-ES"/>
        </w:rPr>
        <w:t xml:space="preserve">. Por este motivo las clases presenciales se complementarán con un programa de lecturas, que contribuirá a que el alumno tenga una visión general de la asignatura.  </w:t>
      </w:r>
    </w:p>
    <w:p w14:paraId="5177EE4B" w14:textId="77777777" w:rsidR="00F035FA" w:rsidRPr="00B723F9" w:rsidRDefault="00F035FA" w:rsidP="00F035FA">
      <w:pPr>
        <w:jc w:val="both"/>
        <w:rPr>
          <w:rFonts w:hAnsi="Times New Roman" w:cs="Times New Roman"/>
          <w:color w:val="auto"/>
          <w:u w:color="808080"/>
          <w:lang w:val="es-ES"/>
        </w:rPr>
      </w:pPr>
    </w:p>
    <w:p w14:paraId="00FD811A" w14:textId="106D28BE"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En las clases magistrales, y prácticas, se presentarán en el aula los conceptos y problemas fundamentales relacionados con el programa.</w:t>
      </w:r>
    </w:p>
    <w:p w14:paraId="184E6B5C" w14:textId="77777777" w:rsidR="00F035FA" w:rsidRPr="00B723F9" w:rsidRDefault="00F035FA" w:rsidP="00F035FA">
      <w:pPr>
        <w:jc w:val="both"/>
        <w:rPr>
          <w:rFonts w:hAnsi="Times New Roman" w:cs="Times New Roman"/>
          <w:color w:val="auto"/>
          <w:u w:color="808080"/>
          <w:lang w:val="es-ES"/>
        </w:rPr>
      </w:pPr>
    </w:p>
    <w:p w14:paraId="32C0D54E" w14:textId="77777777"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En las clases se abordarán también problemas prácticos. Se analizará una selección de temas concretos que son objeto de debate. Se estudiarán sentencias, y se utilizarán los métodos de discusión de casos, y resolución de problemas.</w:t>
      </w:r>
    </w:p>
    <w:p w14:paraId="2AC3E269" w14:textId="77777777" w:rsidR="00F035FA" w:rsidRPr="00B723F9" w:rsidRDefault="00F035FA" w:rsidP="00F035FA">
      <w:pPr>
        <w:jc w:val="both"/>
        <w:rPr>
          <w:rFonts w:hAnsi="Times New Roman" w:cs="Times New Roman"/>
          <w:color w:val="auto"/>
          <w:u w:color="808080"/>
          <w:lang w:val="es-ES"/>
        </w:rPr>
      </w:pPr>
    </w:p>
    <w:p w14:paraId="40352776" w14:textId="51E97640"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Las actividades presenciales se completarán con un programa de conferencias, seminarios, jornadas, visitas a instituciones, organizado por el Instituto de Derecho Parlamentario.</w:t>
      </w:r>
    </w:p>
    <w:p w14:paraId="5237A34C" w14:textId="77777777" w:rsidR="00F035FA" w:rsidRPr="00B723F9" w:rsidRDefault="00F035FA" w:rsidP="00F035FA">
      <w:pPr>
        <w:jc w:val="both"/>
        <w:rPr>
          <w:rFonts w:hAnsi="Times New Roman" w:cs="Times New Roman"/>
          <w:color w:val="auto"/>
          <w:u w:color="808080"/>
          <w:lang w:val="es-ES"/>
        </w:rPr>
      </w:pPr>
    </w:p>
    <w:p w14:paraId="3B8074C0" w14:textId="77777777"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 xml:space="preserve"> </w:t>
      </w:r>
    </w:p>
    <w:p w14:paraId="3D8F89BB" w14:textId="77777777"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2) Actividades no presenciales.</w:t>
      </w:r>
    </w:p>
    <w:p w14:paraId="46A39AA8" w14:textId="77777777" w:rsidR="00F035FA" w:rsidRPr="00B723F9" w:rsidRDefault="00F035FA" w:rsidP="00F035FA">
      <w:pPr>
        <w:jc w:val="both"/>
        <w:rPr>
          <w:rFonts w:hAnsi="Times New Roman" w:cs="Times New Roman"/>
          <w:color w:val="auto"/>
          <w:u w:color="808080"/>
          <w:lang w:val="es-ES"/>
        </w:rPr>
      </w:pPr>
    </w:p>
    <w:p w14:paraId="3B4350E3" w14:textId="4794C51F" w:rsidR="0084183D"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 xml:space="preserve">Los alumnos se comprometen a preparar las clases presenciales a través del programa de lecturas obligatorias para las clases magistrales, y de una selección de </w:t>
      </w:r>
      <w:r w:rsidR="00B723F9">
        <w:rPr>
          <w:rFonts w:hAnsi="Times New Roman" w:cs="Times New Roman"/>
          <w:color w:val="auto"/>
          <w:u w:color="808080"/>
          <w:lang w:val="es-ES"/>
        </w:rPr>
        <w:t>lecturas</w:t>
      </w:r>
      <w:r w:rsidRPr="00B723F9">
        <w:rPr>
          <w:rFonts w:hAnsi="Times New Roman" w:cs="Times New Roman"/>
          <w:color w:val="auto"/>
          <w:u w:color="808080"/>
          <w:lang w:val="es-ES"/>
        </w:rPr>
        <w:t xml:space="preserve"> para las clases prácticas.</w:t>
      </w:r>
    </w:p>
    <w:p w14:paraId="315B017E" w14:textId="66785B40" w:rsidR="00B723F9" w:rsidRDefault="00B723F9" w:rsidP="00F035FA">
      <w:pPr>
        <w:jc w:val="both"/>
        <w:rPr>
          <w:rFonts w:hAnsi="Times New Roman" w:cs="Times New Roman"/>
          <w:color w:val="auto"/>
          <w:u w:color="808080"/>
          <w:lang w:val="es-ES"/>
        </w:rPr>
      </w:pPr>
    </w:p>
    <w:p w14:paraId="32518230" w14:textId="57292E4D" w:rsidR="00B723F9" w:rsidRPr="00B723F9" w:rsidRDefault="00B723F9" w:rsidP="00F035FA">
      <w:pPr>
        <w:jc w:val="both"/>
        <w:rPr>
          <w:rFonts w:hAnsi="Times New Roman" w:cs="Times New Roman"/>
          <w:b/>
          <w:color w:val="auto"/>
          <w:u w:color="808080"/>
          <w:lang w:val="es-ES"/>
        </w:rPr>
      </w:pPr>
      <w:r w:rsidRPr="00B723F9">
        <w:rPr>
          <w:rFonts w:hAnsi="Times New Roman" w:cs="Times New Roman"/>
          <w:b/>
          <w:color w:val="auto"/>
          <w:u w:color="808080"/>
          <w:lang w:val="es-ES"/>
        </w:rPr>
        <w:t>Evaluación</w:t>
      </w:r>
    </w:p>
    <w:p w14:paraId="2082DBF3" w14:textId="77777777" w:rsidR="0084183D" w:rsidRPr="00B723F9" w:rsidRDefault="0084183D" w:rsidP="00E642FF">
      <w:pPr>
        <w:jc w:val="both"/>
        <w:rPr>
          <w:rFonts w:hAnsi="Times New Roman" w:cs="Times New Roman"/>
          <w:color w:val="808080"/>
          <w:u w:color="808080"/>
          <w:lang w:val="es-ES"/>
        </w:rPr>
      </w:pPr>
    </w:p>
    <w:p w14:paraId="277BB2F1" w14:textId="77777777" w:rsidR="00B723F9" w:rsidRPr="00B723F9" w:rsidRDefault="00B723F9" w:rsidP="00B723F9">
      <w:pPr>
        <w:widowControl w:val="0"/>
        <w:jc w:val="both"/>
        <w:rPr>
          <w:rFonts w:hAnsi="Times New Roman" w:cs="Times New Roman"/>
          <w:bCs/>
          <w:lang w:val="es-ES"/>
        </w:rPr>
      </w:pPr>
      <w:r w:rsidRPr="00B723F9">
        <w:rPr>
          <w:rFonts w:hAnsi="Times New Roman" w:cs="Times New Roman"/>
          <w:bCs/>
          <w:lang w:val="es-ES"/>
        </w:rPr>
        <w:t>La asistencia a las clases teóricas, prácticas y seminarios es, en principio, un presupuesto para la evaluación positiva.</w:t>
      </w:r>
    </w:p>
    <w:p w14:paraId="4F8C9ED7" w14:textId="77777777" w:rsidR="00B723F9" w:rsidRPr="00B723F9" w:rsidRDefault="00B723F9" w:rsidP="00B723F9">
      <w:pPr>
        <w:widowControl w:val="0"/>
        <w:jc w:val="both"/>
        <w:rPr>
          <w:rFonts w:hAnsi="Times New Roman" w:cs="Times New Roman"/>
          <w:bCs/>
          <w:lang w:val="es-ES"/>
        </w:rPr>
      </w:pPr>
    </w:p>
    <w:p w14:paraId="60B68F65" w14:textId="77777777" w:rsidR="00B723F9" w:rsidRPr="00B723F9" w:rsidRDefault="00B723F9" w:rsidP="00B723F9">
      <w:pPr>
        <w:widowControl w:val="0"/>
        <w:jc w:val="both"/>
        <w:rPr>
          <w:rFonts w:hAnsi="Times New Roman" w:cs="Times New Roman"/>
          <w:bCs/>
          <w:lang w:val="es-ES"/>
        </w:rPr>
      </w:pPr>
      <w:r w:rsidRPr="00B723F9">
        <w:rPr>
          <w:rFonts w:hAnsi="Times New Roman" w:cs="Times New Roman"/>
          <w:bCs/>
          <w:lang w:val="es-ES"/>
        </w:rPr>
        <w:t>Se valorará la participación activa, y solvente, en las clases teóricas, y prácticas, que acredite simultáneamente el interés y el trabajo del alumno.</w:t>
      </w:r>
    </w:p>
    <w:p w14:paraId="56A8081B" w14:textId="77777777" w:rsidR="00B723F9" w:rsidRPr="00B723F9" w:rsidRDefault="00B723F9" w:rsidP="00B723F9">
      <w:pPr>
        <w:widowControl w:val="0"/>
        <w:jc w:val="both"/>
        <w:rPr>
          <w:rFonts w:hAnsi="Times New Roman" w:cs="Times New Roman"/>
          <w:bCs/>
          <w:lang w:val="es-ES"/>
        </w:rPr>
      </w:pPr>
    </w:p>
    <w:p w14:paraId="074BDBAA" w14:textId="3AA48168" w:rsidR="00B723F9" w:rsidRPr="00B723F9" w:rsidRDefault="00B723F9" w:rsidP="00B723F9">
      <w:pPr>
        <w:widowControl w:val="0"/>
        <w:jc w:val="both"/>
        <w:rPr>
          <w:rFonts w:hAnsi="Times New Roman" w:cs="Times New Roman"/>
          <w:bCs/>
          <w:lang w:val="es-ES"/>
        </w:rPr>
      </w:pPr>
      <w:r w:rsidRPr="00B723F9">
        <w:rPr>
          <w:rFonts w:hAnsi="Times New Roman" w:cs="Times New Roman"/>
          <w:bCs/>
          <w:lang w:val="es-ES"/>
        </w:rPr>
        <w:t>Dicha participación ayuda</w:t>
      </w:r>
      <w:r>
        <w:rPr>
          <w:rFonts w:hAnsi="Times New Roman" w:cs="Times New Roman"/>
          <w:bCs/>
          <w:lang w:val="es-ES"/>
        </w:rPr>
        <w:t xml:space="preserve">rá a ponderar la nota final de </w:t>
      </w:r>
      <w:r w:rsidRPr="00B723F9">
        <w:rPr>
          <w:rFonts w:hAnsi="Times New Roman" w:cs="Times New Roman"/>
          <w:bCs/>
          <w:lang w:val="es-ES"/>
        </w:rPr>
        <w:t>l</w:t>
      </w:r>
      <w:r>
        <w:rPr>
          <w:rFonts w:hAnsi="Times New Roman" w:cs="Times New Roman"/>
          <w:bCs/>
          <w:lang w:val="es-ES"/>
        </w:rPr>
        <w:t>a</w:t>
      </w:r>
      <w:r w:rsidRPr="00B723F9">
        <w:rPr>
          <w:rFonts w:hAnsi="Times New Roman" w:cs="Times New Roman"/>
          <w:bCs/>
          <w:lang w:val="es-ES"/>
        </w:rPr>
        <w:t xml:space="preserve"> asignatura.</w:t>
      </w:r>
    </w:p>
    <w:p w14:paraId="0436B2CC" w14:textId="77777777" w:rsidR="00B723F9" w:rsidRPr="00B723F9" w:rsidRDefault="00B723F9" w:rsidP="00B723F9">
      <w:pPr>
        <w:widowControl w:val="0"/>
        <w:jc w:val="both"/>
        <w:rPr>
          <w:rFonts w:hAnsi="Times New Roman" w:cs="Times New Roman"/>
          <w:bCs/>
          <w:lang w:val="es-ES"/>
        </w:rPr>
      </w:pPr>
    </w:p>
    <w:p w14:paraId="0FA5A9F2" w14:textId="61BED0B5" w:rsidR="008B7DBA" w:rsidRPr="00B723F9" w:rsidRDefault="00B723F9" w:rsidP="008B7DBA">
      <w:pPr>
        <w:widowControl w:val="0"/>
        <w:jc w:val="both"/>
        <w:rPr>
          <w:rFonts w:hAnsi="Times New Roman" w:cs="Times New Roman"/>
          <w:bCs/>
          <w:lang w:val="es-ES"/>
        </w:rPr>
      </w:pPr>
      <w:r w:rsidRPr="00B723F9">
        <w:rPr>
          <w:rFonts w:hAnsi="Times New Roman" w:cs="Times New Roman"/>
          <w:bCs/>
          <w:lang w:val="es-ES"/>
        </w:rPr>
        <w:t>La parte más importante de la calificación final se derivará de la elaboración de un “trabajo de asignatura”, que consistirá en una reflexión crítica, sobre algunos de los temas que se han abordado en ella, con una extensión de entre veinte y treinta folios, a espacio y med</w:t>
      </w:r>
      <w:r w:rsidR="008B7DBA">
        <w:rPr>
          <w:rFonts w:hAnsi="Times New Roman" w:cs="Times New Roman"/>
          <w:bCs/>
          <w:lang w:val="es-ES"/>
        </w:rPr>
        <w:t xml:space="preserve">io, en letra times new </w:t>
      </w:r>
      <w:proofErr w:type="spellStart"/>
      <w:r w:rsidR="008B7DBA">
        <w:rPr>
          <w:rFonts w:hAnsi="Times New Roman" w:cs="Times New Roman"/>
          <w:bCs/>
          <w:lang w:val="es-ES"/>
        </w:rPr>
        <w:t>roman</w:t>
      </w:r>
      <w:proofErr w:type="spellEnd"/>
      <w:r w:rsidR="008B7DBA">
        <w:rPr>
          <w:rFonts w:hAnsi="Times New Roman" w:cs="Times New Roman"/>
          <w:bCs/>
          <w:lang w:val="es-ES"/>
        </w:rPr>
        <w:t xml:space="preserve"> 12.</w:t>
      </w:r>
    </w:p>
    <w:p w14:paraId="63E285C2" w14:textId="77777777" w:rsidR="00B723F9" w:rsidRPr="00B723F9" w:rsidRDefault="00B723F9" w:rsidP="00B723F9">
      <w:pPr>
        <w:widowControl w:val="0"/>
        <w:jc w:val="both"/>
        <w:rPr>
          <w:rFonts w:hAnsi="Times New Roman" w:cs="Times New Roman"/>
          <w:bCs/>
          <w:lang w:val="es-ES"/>
        </w:rPr>
      </w:pPr>
    </w:p>
    <w:p w14:paraId="7DC2D4A7" w14:textId="456AEA52" w:rsidR="003561C2" w:rsidRPr="00B723F9" w:rsidRDefault="00B723F9" w:rsidP="00B723F9">
      <w:pPr>
        <w:widowControl w:val="0"/>
        <w:jc w:val="both"/>
        <w:rPr>
          <w:rFonts w:hAnsi="Times New Roman" w:cs="Times New Roman"/>
          <w:bCs/>
          <w:lang w:val="es-ES"/>
        </w:rPr>
      </w:pPr>
      <w:r w:rsidRPr="00B723F9">
        <w:rPr>
          <w:rFonts w:hAnsi="Times New Roman" w:cs="Times New Roman"/>
          <w:bCs/>
          <w:lang w:val="es-ES"/>
        </w:rPr>
        <w:t xml:space="preserve">Antes de elegir el tema a tratar en el “trabajo de asignatura”, los alumnos deberán entrevistarse con el </w:t>
      </w:r>
      <w:r>
        <w:rPr>
          <w:rFonts w:hAnsi="Times New Roman" w:cs="Times New Roman"/>
          <w:bCs/>
          <w:lang w:val="es-ES"/>
        </w:rPr>
        <w:t>coordinador</w:t>
      </w:r>
      <w:r w:rsidRPr="00B723F9">
        <w:rPr>
          <w:rFonts w:hAnsi="Times New Roman" w:cs="Times New Roman"/>
          <w:bCs/>
          <w:lang w:val="es-ES"/>
        </w:rPr>
        <w:t>, para ser orientados respecto a los posibles contenidos, la bibliografía pertinente, etc.</w:t>
      </w:r>
    </w:p>
    <w:p w14:paraId="191E1BF3" w14:textId="77777777" w:rsidR="00F035FA" w:rsidRDefault="00F035FA" w:rsidP="00F035FA">
      <w:pPr>
        <w:jc w:val="both"/>
        <w:rPr>
          <w:rFonts w:hAnsi="Times New Roman" w:cs="Times New Roman"/>
          <w:color w:val="808080"/>
          <w:u w:color="808080"/>
          <w:lang w:val="en-US"/>
        </w:rPr>
      </w:pPr>
    </w:p>
    <w:p w14:paraId="67B6D130" w14:textId="79062EBE" w:rsidR="003561C2" w:rsidRPr="00F035FA" w:rsidRDefault="00F035FA" w:rsidP="00F035FA">
      <w:pPr>
        <w:spacing w:after="240"/>
        <w:jc w:val="both"/>
        <w:rPr>
          <w:rFonts w:hAnsi="Times New Roman" w:cs="Times New Roman"/>
          <w:b/>
          <w:lang w:val="es-ES_tradnl"/>
        </w:rPr>
      </w:pPr>
      <w:r w:rsidRPr="00F035FA">
        <w:rPr>
          <w:rFonts w:hAnsi="Times New Roman" w:cs="Times New Roman"/>
          <w:b/>
          <w:lang w:val="es-ES_tradnl"/>
        </w:rPr>
        <w:t>Bibliografía básica</w:t>
      </w:r>
    </w:p>
    <w:p w14:paraId="486CD57E" w14:textId="77777777" w:rsidR="008B7DBA" w:rsidRDefault="008B7DBA" w:rsidP="008B7DBA">
      <w:pPr>
        <w:pStyle w:val="Prrafodelista"/>
        <w:widowControl w:val="0"/>
        <w:numPr>
          <w:ilvl w:val="0"/>
          <w:numId w:val="24"/>
        </w:numPr>
        <w:ind w:left="851"/>
        <w:jc w:val="both"/>
      </w:pPr>
      <w:r>
        <w:t>Electoral Law (European Commission for Democracy Through Law, Venice Commission, Council of Europe, 2013), http://www.eods.eu/library/VC.Electoral %20Law_EN.pdf).</w:t>
      </w:r>
    </w:p>
    <w:p w14:paraId="31B170F7" w14:textId="77777777" w:rsidR="008B7DBA" w:rsidRDefault="008B7DBA" w:rsidP="008B7DBA">
      <w:pPr>
        <w:pStyle w:val="Prrafodelista"/>
        <w:widowControl w:val="0"/>
        <w:numPr>
          <w:ilvl w:val="0"/>
          <w:numId w:val="24"/>
        </w:numPr>
        <w:ind w:left="851"/>
        <w:jc w:val="both"/>
      </w:pPr>
      <w:r>
        <w:t xml:space="preserve">Guidelines on an internationally recognised status of election observers (European Commission for Democracy Through Law, Venice Commission, Council of Europe, 2009), http://www.venice.coe.int/webforms/documents/default.aspx?pdffile=CDLEL(2009)022rev-e </w:t>
      </w:r>
    </w:p>
    <w:p w14:paraId="5DAF63A4" w14:textId="4680A156" w:rsidR="008B7DBA" w:rsidRDefault="008B7DBA" w:rsidP="008B7DBA">
      <w:pPr>
        <w:pStyle w:val="Prrafodelista"/>
        <w:widowControl w:val="0"/>
        <w:numPr>
          <w:ilvl w:val="0"/>
          <w:numId w:val="24"/>
        </w:numPr>
        <w:ind w:left="851"/>
        <w:jc w:val="both"/>
      </w:pPr>
      <w:r>
        <w:t>GARC</w:t>
      </w:r>
      <w:r>
        <w:t>Í</w:t>
      </w:r>
      <w:r>
        <w:t xml:space="preserve">A ROCA, J., </w:t>
      </w:r>
      <w:r>
        <w:t>“</w:t>
      </w:r>
      <w:r>
        <w:t xml:space="preserve"> From States international commitment to organize free elections to the citizens</w:t>
      </w:r>
      <w:r>
        <w:t>’</w:t>
      </w:r>
      <w:r>
        <w:t xml:space="preserve"> right to vote and stand for election (art.3 P1 ECHR)</w:t>
      </w:r>
      <w:r>
        <w:t>”</w:t>
      </w:r>
      <w:r>
        <w:t xml:space="preserve"> GARC</w:t>
      </w:r>
      <w:r>
        <w:t>Í</w:t>
      </w:r>
      <w:r>
        <w:t>A ROCA, J., SANTOLAYA, P. (Eds.), Europe of Rights: A compendium of the European Convention of Human Rights, Leiden-Boston, Martinus Hijhoff Publishers, 2012, pp. 579-605.</w:t>
      </w:r>
    </w:p>
    <w:p w14:paraId="29454AC1" w14:textId="01B5E1FE" w:rsidR="008B7DBA" w:rsidRDefault="008B7DBA" w:rsidP="008B7DBA">
      <w:pPr>
        <w:widowControl w:val="0"/>
        <w:ind w:left="720"/>
        <w:jc w:val="both"/>
      </w:pPr>
    </w:p>
    <w:p w14:paraId="7A9AEB69" w14:textId="6EC24BE6" w:rsidR="008B7DBA" w:rsidRPr="00F035FA" w:rsidRDefault="008B7DBA" w:rsidP="008B7DBA">
      <w:pPr>
        <w:jc w:val="both"/>
        <w:rPr>
          <w:rFonts w:hAnsi="Times New Roman" w:cs="Times New Roman"/>
          <w:b/>
          <w:bCs/>
          <w:lang w:val="es-ES"/>
        </w:rPr>
      </w:pPr>
      <w:r w:rsidRPr="00F035FA">
        <w:rPr>
          <w:rFonts w:hAnsi="Times New Roman" w:cs="Times New Roman"/>
          <w:b/>
          <w:bCs/>
          <w:lang w:val="es-ES"/>
        </w:rPr>
        <w:t>Bibliografía complementaria</w:t>
      </w:r>
    </w:p>
    <w:p w14:paraId="39AB8AB7" w14:textId="77777777" w:rsidR="008B7DBA" w:rsidRDefault="008B7DBA" w:rsidP="008B7DBA">
      <w:pPr>
        <w:widowControl w:val="0"/>
        <w:ind w:left="720"/>
        <w:jc w:val="both"/>
        <w:rPr>
          <w:rFonts w:hAnsi="Times New Roman" w:cs="Times New Roman"/>
          <w:b/>
          <w:lang w:val="es-ES"/>
        </w:rPr>
      </w:pPr>
    </w:p>
    <w:p w14:paraId="28FCF7A9" w14:textId="00627F04" w:rsidR="008B7DBA" w:rsidRPr="008B7DBA" w:rsidRDefault="008B7DBA" w:rsidP="008B7DBA">
      <w:pPr>
        <w:widowControl w:val="0"/>
        <w:ind w:left="720"/>
        <w:jc w:val="both"/>
        <w:rPr>
          <w:rFonts w:hAnsi="Times New Roman" w:cs="Times New Roman"/>
          <w:b/>
          <w:lang w:val="es-ES"/>
        </w:rPr>
      </w:pPr>
      <w:r w:rsidRPr="008B7DBA">
        <w:rPr>
          <w:rFonts w:hAnsi="Times New Roman" w:cs="Times New Roman"/>
          <w:b/>
          <w:lang w:val="es-ES"/>
        </w:rPr>
        <w:t>Sistemas electorales</w:t>
      </w:r>
    </w:p>
    <w:p w14:paraId="6982E472" w14:textId="77777777" w:rsidR="008B7DBA" w:rsidRPr="008B7DBA" w:rsidRDefault="008B7DBA" w:rsidP="008B7DBA">
      <w:pPr>
        <w:widowControl w:val="0"/>
        <w:ind w:left="720"/>
        <w:jc w:val="both"/>
        <w:rPr>
          <w:rFonts w:hAnsi="Times New Roman" w:cs="Times New Roman"/>
          <w:lang w:val="en-US"/>
        </w:rPr>
      </w:pPr>
    </w:p>
    <w:p w14:paraId="009B6A41" w14:textId="0A828793" w:rsidR="008B7DBA" w:rsidRPr="001B2DF9" w:rsidRDefault="008B7DBA" w:rsidP="00981BBA">
      <w:pPr>
        <w:pStyle w:val="Prrafodelista"/>
        <w:widowControl w:val="0"/>
        <w:numPr>
          <w:ilvl w:val="0"/>
          <w:numId w:val="25"/>
        </w:numPr>
        <w:ind w:left="851"/>
        <w:jc w:val="both"/>
        <w:rPr>
          <w:rFonts w:hAnsi="Times New Roman" w:cs="Times New Roman"/>
          <w:lang w:val="en-US"/>
        </w:rPr>
      </w:pPr>
      <w:r w:rsidRPr="001B2DF9">
        <w:rPr>
          <w:rFonts w:hAnsi="Times New Roman" w:cs="Times New Roman"/>
          <w:lang w:val="en-US"/>
        </w:rPr>
        <w:t>GALLAGHER, M., “Electoral Institutions and Representation”, LE DUC, L., NIEMI,</w:t>
      </w:r>
      <w:r w:rsidR="001B2DF9" w:rsidRPr="001B2DF9">
        <w:rPr>
          <w:rFonts w:hAnsi="Times New Roman" w:cs="Times New Roman"/>
          <w:lang w:val="en-US"/>
        </w:rPr>
        <w:t xml:space="preserve"> </w:t>
      </w:r>
      <w:r w:rsidRPr="001B2DF9">
        <w:rPr>
          <w:rFonts w:hAnsi="Times New Roman" w:cs="Times New Roman"/>
          <w:lang w:val="en-US"/>
        </w:rPr>
        <w:t xml:space="preserve">R. G., NORRIS, P. (Eds.), </w:t>
      </w:r>
      <w:r w:rsidRPr="001B2DF9">
        <w:rPr>
          <w:rFonts w:hAnsi="Times New Roman" w:cs="Times New Roman"/>
          <w:i/>
          <w:lang w:val="en-US"/>
        </w:rPr>
        <w:t>Comparing Democracies. Elections and voting in a changing</w:t>
      </w:r>
      <w:r w:rsidR="001B2DF9">
        <w:rPr>
          <w:rFonts w:hAnsi="Times New Roman" w:cs="Times New Roman"/>
          <w:i/>
          <w:lang w:val="en-US"/>
        </w:rPr>
        <w:t xml:space="preserve"> </w:t>
      </w:r>
      <w:r w:rsidRPr="001B2DF9">
        <w:rPr>
          <w:rFonts w:hAnsi="Times New Roman" w:cs="Times New Roman"/>
          <w:i/>
          <w:lang w:val="en-US"/>
        </w:rPr>
        <w:t>world</w:t>
      </w:r>
      <w:r w:rsidRPr="001B2DF9">
        <w:rPr>
          <w:rFonts w:hAnsi="Times New Roman" w:cs="Times New Roman"/>
          <w:lang w:val="en-US"/>
        </w:rPr>
        <w:t>, Thousand Oaks, SAGE, 2014, pp. 11-31.</w:t>
      </w:r>
    </w:p>
    <w:p w14:paraId="644896C2" w14:textId="77C0684E" w:rsidR="008B7DBA" w:rsidRPr="001B2DF9" w:rsidRDefault="008B7DBA" w:rsidP="00BA5E12">
      <w:pPr>
        <w:pStyle w:val="Prrafodelista"/>
        <w:widowControl w:val="0"/>
        <w:numPr>
          <w:ilvl w:val="0"/>
          <w:numId w:val="25"/>
        </w:numPr>
        <w:ind w:left="851"/>
        <w:jc w:val="both"/>
        <w:rPr>
          <w:rFonts w:hAnsi="Times New Roman" w:cs="Times New Roman"/>
          <w:lang w:val="en-US"/>
        </w:rPr>
      </w:pPr>
      <w:r w:rsidRPr="001B2DF9">
        <w:rPr>
          <w:rFonts w:hAnsi="Times New Roman" w:cs="Times New Roman"/>
          <w:lang w:val="en-US"/>
        </w:rPr>
        <w:t>COLOMER, J.M., “Strategy and History of Electoral system choice”, COLOMER,</w:t>
      </w:r>
      <w:r w:rsidR="001B2DF9" w:rsidRPr="001B2DF9">
        <w:rPr>
          <w:rFonts w:hAnsi="Times New Roman" w:cs="Times New Roman"/>
          <w:lang w:val="en-US"/>
        </w:rPr>
        <w:t xml:space="preserve"> </w:t>
      </w:r>
      <w:r w:rsidRPr="001B2DF9">
        <w:rPr>
          <w:rFonts w:hAnsi="Times New Roman" w:cs="Times New Roman"/>
          <w:lang w:val="en-US"/>
        </w:rPr>
        <w:t xml:space="preserve">J.M., </w:t>
      </w:r>
      <w:r w:rsidRPr="001B2DF9">
        <w:rPr>
          <w:rFonts w:hAnsi="Times New Roman" w:cs="Times New Roman"/>
          <w:i/>
          <w:lang w:val="en-US"/>
        </w:rPr>
        <w:t>Handbook of Electoral System Choice</w:t>
      </w:r>
      <w:r w:rsidRPr="001B2DF9">
        <w:rPr>
          <w:rFonts w:hAnsi="Times New Roman" w:cs="Times New Roman"/>
          <w:lang w:val="en-US"/>
        </w:rPr>
        <w:t xml:space="preserve">, </w:t>
      </w:r>
      <w:proofErr w:type="spellStart"/>
      <w:r w:rsidRPr="001B2DF9">
        <w:rPr>
          <w:rFonts w:hAnsi="Times New Roman" w:cs="Times New Roman"/>
          <w:lang w:val="en-US"/>
        </w:rPr>
        <w:t>Houndmills</w:t>
      </w:r>
      <w:proofErr w:type="spellEnd"/>
      <w:r w:rsidRPr="001B2DF9">
        <w:rPr>
          <w:rFonts w:hAnsi="Times New Roman" w:cs="Times New Roman"/>
          <w:lang w:val="en-US"/>
        </w:rPr>
        <w:t>, Palgrave Macmillan, 2004,</w:t>
      </w:r>
      <w:r w:rsidR="001B2DF9">
        <w:rPr>
          <w:rFonts w:hAnsi="Times New Roman" w:cs="Times New Roman"/>
          <w:lang w:val="en-US"/>
        </w:rPr>
        <w:t xml:space="preserve"> </w:t>
      </w:r>
      <w:r w:rsidRPr="001B2DF9">
        <w:rPr>
          <w:rFonts w:hAnsi="Times New Roman" w:cs="Times New Roman"/>
          <w:lang w:val="en-US"/>
        </w:rPr>
        <w:t>pp. 3-78.</w:t>
      </w:r>
    </w:p>
    <w:p w14:paraId="71DA33F0" w14:textId="081C82C5" w:rsidR="008B7DBA" w:rsidRPr="001B2DF9" w:rsidRDefault="008B7DBA" w:rsidP="00CB04BC">
      <w:pPr>
        <w:pStyle w:val="Prrafodelista"/>
        <w:widowControl w:val="0"/>
        <w:numPr>
          <w:ilvl w:val="0"/>
          <w:numId w:val="25"/>
        </w:numPr>
        <w:ind w:left="851"/>
        <w:jc w:val="both"/>
        <w:rPr>
          <w:rFonts w:hAnsi="Times New Roman" w:cs="Times New Roman"/>
          <w:lang w:val="en-US"/>
        </w:rPr>
      </w:pPr>
      <w:r w:rsidRPr="001B2DF9">
        <w:rPr>
          <w:rFonts w:hAnsi="Times New Roman" w:cs="Times New Roman"/>
          <w:lang w:val="en-US"/>
        </w:rPr>
        <w:t xml:space="preserve">NOHLEN, Dieter y </w:t>
      </w:r>
      <w:proofErr w:type="spellStart"/>
      <w:r w:rsidRPr="001B2DF9">
        <w:rPr>
          <w:rFonts w:hAnsi="Times New Roman" w:cs="Times New Roman"/>
          <w:lang w:val="en-US"/>
        </w:rPr>
        <w:t>otros</w:t>
      </w:r>
      <w:proofErr w:type="spellEnd"/>
      <w:r w:rsidRPr="001B2DF9">
        <w:rPr>
          <w:rFonts w:hAnsi="Times New Roman" w:cs="Times New Roman"/>
          <w:lang w:val="en-US"/>
        </w:rPr>
        <w:t xml:space="preserve"> (comp.). </w:t>
      </w:r>
      <w:proofErr w:type="spellStart"/>
      <w:r w:rsidRPr="001B2DF9">
        <w:rPr>
          <w:rFonts w:hAnsi="Times New Roman" w:cs="Times New Roman"/>
          <w:i/>
          <w:lang w:val="en-US"/>
        </w:rPr>
        <w:t>Tratado</w:t>
      </w:r>
      <w:proofErr w:type="spellEnd"/>
      <w:r w:rsidRPr="001B2DF9">
        <w:rPr>
          <w:rFonts w:hAnsi="Times New Roman" w:cs="Times New Roman"/>
          <w:i/>
          <w:lang w:val="en-US"/>
        </w:rPr>
        <w:t xml:space="preserve"> de Derecho electoral </w:t>
      </w:r>
      <w:proofErr w:type="spellStart"/>
      <w:r w:rsidRPr="001B2DF9">
        <w:rPr>
          <w:rFonts w:hAnsi="Times New Roman" w:cs="Times New Roman"/>
          <w:i/>
          <w:lang w:val="en-US"/>
        </w:rPr>
        <w:t>comparado</w:t>
      </w:r>
      <w:proofErr w:type="spellEnd"/>
      <w:r w:rsidRPr="001B2DF9">
        <w:rPr>
          <w:rFonts w:hAnsi="Times New Roman" w:cs="Times New Roman"/>
          <w:i/>
          <w:lang w:val="en-US"/>
        </w:rPr>
        <w:t xml:space="preserve"> de</w:t>
      </w:r>
      <w:r w:rsidR="001B2DF9" w:rsidRPr="001B2DF9">
        <w:rPr>
          <w:rFonts w:hAnsi="Times New Roman" w:cs="Times New Roman"/>
          <w:i/>
          <w:lang w:val="en-US"/>
        </w:rPr>
        <w:t xml:space="preserve"> </w:t>
      </w:r>
      <w:r w:rsidRPr="001B2DF9">
        <w:rPr>
          <w:rFonts w:hAnsi="Times New Roman" w:cs="Times New Roman"/>
          <w:i/>
          <w:lang w:val="en-US"/>
        </w:rPr>
        <w:t>América Latina</w:t>
      </w:r>
      <w:r w:rsidRPr="001B2DF9">
        <w:rPr>
          <w:rFonts w:hAnsi="Times New Roman" w:cs="Times New Roman"/>
          <w:lang w:val="en-US"/>
        </w:rPr>
        <w:t xml:space="preserve">. Instituto </w:t>
      </w:r>
      <w:proofErr w:type="spellStart"/>
      <w:r w:rsidRPr="001B2DF9">
        <w:rPr>
          <w:rFonts w:hAnsi="Times New Roman" w:cs="Times New Roman"/>
          <w:lang w:val="en-US"/>
        </w:rPr>
        <w:t>Interamericano</w:t>
      </w:r>
      <w:proofErr w:type="spellEnd"/>
      <w:r w:rsidRPr="001B2DF9">
        <w:rPr>
          <w:rFonts w:hAnsi="Times New Roman" w:cs="Times New Roman"/>
          <w:lang w:val="en-US"/>
        </w:rPr>
        <w:t xml:space="preserve"> de Derechos </w:t>
      </w:r>
      <w:proofErr w:type="spellStart"/>
      <w:r w:rsidRPr="001B2DF9">
        <w:rPr>
          <w:rFonts w:hAnsi="Times New Roman" w:cs="Times New Roman"/>
          <w:lang w:val="en-US"/>
        </w:rPr>
        <w:t>Humanos</w:t>
      </w:r>
      <w:proofErr w:type="spellEnd"/>
      <w:r w:rsidRPr="001B2DF9">
        <w:rPr>
          <w:rFonts w:hAnsi="Times New Roman" w:cs="Times New Roman"/>
          <w:lang w:val="en-US"/>
        </w:rPr>
        <w:t>. 2ª ed. 2007. http://</w:t>
      </w:r>
      <w:hyperlink r:id="rId7" w:history="1">
        <w:r w:rsidRPr="001B2DF9">
          <w:rPr>
            <w:rStyle w:val="Hipervnculo"/>
            <w:rFonts w:hAnsi="Times New Roman" w:cs="Times New Roman"/>
            <w:lang w:val="en-US"/>
          </w:rPr>
          <w:t>www.idea.int/publications/electoral_law_la/upload/inlay_tratado.pdf</w:t>
        </w:r>
      </w:hyperlink>
      <w:r w:rsidRPr="001B2DF9">
        <w:rPr>
          <w:rFonts w:hAnsi="Times New Roman" w:cs="Times New Roman"/>
          <w:lang w:val="en-US"/>
        </w:rPr>
        <w:t xml:space="preserve"> </w:t>
      </w:r>
    </w:p>
    <w:p w14:paraId="76A0C4B6" w14:textId="77777777" w:rsidR="008B7DBA" w:rsidRDefault="008B7DBA" w:rsidP="008B7DBA">
      <w:pPr>
        <w:widowControl w:val="0"/>
        <w:ind w:left="720"/>
        <w:jc w:val="both"/>
        <w:rPr>
          <w:rFonts w:hAnsi="Times New Roman" w:cs="Times New Roman"/>
          <w:lang w:val="en-US"/>
        </w:rPr>
      </w:pPr>
    </w:p>
    <w:p w14:paraId="5B07832F" w14:textId="6A43ED1C" w:rsidR="008B7DBA" w:rsidRPr="008B7DBA" w:rsidRDefault="008B7DBA" w:rsidP="008B7DBA">
      <w:pPr>
        <w:widowControl w:val="0"/>
        <w:ind w:left="720"/>
        <w:jc w:val="both"/>
        <w:rPr>
          <w:rFonts w:hAnsi="Times New Roman" w:cs="Times New Roman"/>
          <w:b/>
          <w:lang w:val="es-ES"/>
        </w:rPr>
      </w:pPr>
      <w:r w:rsidRPr="008B7DBA">
        <w:rPr>
          <w:rFonts w:hAnsi="Times New Roman" w:cs="Times New Roman"/>
          <w:b/>
          <w:lang w:val="es-ES"/>
        </w:rPr>
        <w:t>Administración electoral</w:t>
      </w:r>
    </w:p>
    <w:p w14:paraId="4AEC45C1" w14:textId="77777777" w:rsidR="008B7DBA" w:rsidRPr="008B7DBA" w:rsidRDefault="008B7DBA" w:rsidP="008B7DBA">
      <w:pPr>
        <w:widowControl w:val="0"/>
        <w:ind w:left="720"/>
        <w:jc w:val="both"/>
        <w:rPr>
          <w:rFonts w:hAnsi="Times New Roman" w:cs="Times New Roman"/>
          <w:lang w:val="en-US"/>
        </w:rPr>
      </w:pPr>
    </w:p>
    <w:p w14:paraId="15D74A6D" w14:textId="1E57E1E3" w:rsidR="008B7DBA" w:rsidRPr="001B2DF9" w:rsidRDefault="008B7DBA" w:rsidP="00F246C4">
      <w:pPr>
        <w:pStyle w:val="Prrafodelista"/>
        <w:widowControl w:val="0"/>
        <w:numPr>
          <w:ilvl w:val="0"/>
          <w:numId w:val="27"/>
        </w:numPr>
        <w:ind w:left="851"/>
        <w:jc w:val="both"/>
        <w:rPr>
          <w:rFonts w:hAnsi="Times New Roman" w:cs="Times New Roman"/>
          <w:lang w:val="en-US"/>
        </w:rPr>
      </w:pPr>
      <w:r w:rsidRPr="001B2DF9">
        <w:rPr>
          <w:rFonts w:hAnsi="Times New Roman" w:cs="Times New Roman"/>
          <w:lang w:val="en-US"/>
        </w:rPr>
        <w:t xml:space="preserve">WALL, </w:t>
      </w:r>
      <w:proofErr w:type="spellStart"/>
      <w:r w:rsidRPr="001B2DF9">
        <w:rPr>
          <w:rFonts w:hAnsi="Times New Roman" w:cs="Times New Roman"/>
          <w:lang w:val="en-US"/>
        </w:rPr>
        <w:t>lan</w:t>
      </w:r>
      <w:proofErr w:type="spellEnd"/>
      <w:r w:rsidRPr="001B2DF9">
        <w:rPr>
          <w:rFonts w:hAnsi="Times New Roman" w:cs="Times New Roman"/>
          <w:lang w:val="en-US"/>
        </w:rPr>
        <w:t xml:space="preserve">, et. al., </w:t>
      </w:r>
      <w:r w:rsidRPr="001B2DF9">
        <w:rPr>
          <w:rFonts w:hAnsi="Times New Roman" w:cs="Times New Roman"/>
          <w:i/>
          <w:lang w:val="en-US"/>
        </w:rPr>
        <w:t>Electoral Management Design: The International Idea Handbook</w:t>
      </w:r>
      <w:r w:rsidRPr="001B2DF9">
        <w:rPr>
          <w:rFonts w:hAnsi="Times New Roman" w:cs="Times New Roman"/>
          <w:lang w:val="en-US"/>
        </w:rPr>
        <w:t>,</w:t>
      </w:r>
      <w:r w:rsidR="001B2DF9" w:rsidRPr="001B2DF9">
        <w:rPr>
          <w:rFonts w:hAnsi="Times New Roman" w:cs="Times New Roman"/>
          <w:lang w:val="en-US"/>
        </w:rPr>
        <w:t xml:space="preserve"> </w:t>
      </w:r>
      <w:r w:rsidRPr="001B2DF9">
        <w:rPr>
          <w:rFonts w:hAnsi="Times New Roman" w:cs="Times New Roman"/>
          <w:lang w:val="en-US"/>
        </w:rPr>
        <w:t>Idea Stockholm, 2014, pp. 5-21. http://www.idea.int/sites/default/files/publications/electoral-management-design-2014.pdf</w:t>
      </w:r>
    </w:p>
    <w:p w14:paraId="3671E856" w14:textId="02C43360" w:rsidR="00F035FA" w:rsidRPr="001B2DF9" w:rsidRDefault="008B7DBA" w:rsidP="002D6D96">
      <w:pPr>
        <w:pStyle w:val="Prrafodelista"/>
        <w:widowControl w:val="0"/>
        <w:numPr>
          <w:ilvl w:val="0"/>
          <w:numId w:val="27"/>
        </w:numPr>
        <w:ind w:left="851"/>
        <w:jc w:val="both"/>
        <w:rPr>
          <w:rFonts w:hAnsi="Times New Roman" w:cs="Times New Roman"/>
          <w:lang w:val="en-US"/>
        </w:rPr>
      </w:pPr>
      <w:r w:rsidRPr="001B2DF9">
        <w:rPr>
          <w:rFonts w:hAnsi="Times New Roman" w:cs="Times New Roman"/>
          <w:lang w:val="en-US"/>
        </w:rPr>
        <w:t xml:space="preserve">SANTOLAYA MACHETTI, Pablo. </w:t>
      </w:r>
      <w:proofErr w:type="spellStart"/>
      <w:r w:rsidRPr="001B2DF9">
        <w:rPr>
          <w:rFonts w:hAnsi="Times New Roman" w:cs="Times New Roman"/>
          <w:i/>
          <w:lang w:val="en-US"/>
        </w:rPr>
        <w:t>Procedimiento</w:t>
      </w:r>
      <w:proofErr w:type="spellEnd"/>
      <w:r w:rsidRPr="001B2DF9">
        <w:rPr>
          <w:rFonts w:hAnsi="Times New Roman" w:cs="Times New Roman"/>
          <w:i/>
          <w:lang w:val="en-US"/>
        </w:rPr>
        <w:t xml:space="preserve"> y </w:t>
      </w:r>
      <w:proofErr w:type="spellStart"/>
      <w:r w:rsidRPr="001B2DF9">
        <w:rPr>
          <w:rFonts w:hAnsi="Times New Roman" w:cs="Times New Roman"/>
          <w:i/>
          <w:lang w:val="en-US"/>
        </w:rPr>
        <w:t>Garantías</w:t>
      </w:r>
      <w:proofErr w:type="spellEnd"/>
      <w:r w:rsidRPr="001B2DF9">
        <w:rPr>
          <w:rFonts w:hAnsi="Times New Roman" w:cs="Times New Roman"/>
          <w:i/>
          <w:lang w:val="en-US"/>
        </w:rPr>
        <w:t xml:space="preserve"> </w:t>
      </w:r>
      <w:proofErr w:type="spellStart"/>
      <w:r w:rsidRPr="001B2DF9">
        <w:rPr>
          <w:rFonts w:hAnsi="Times New Roman" w:cs="Times New Roman"/>
          <w:i/>
          <w:lang w:val="en-US"/>
        </w:rPr>
        <w:t>Electorales</w:t>
      </w:r>
      <w:proofErr w:type="spellEnd"/>
      <w:r w:rsidRPr="001B2DF9">
        <w:rPr>
          <w:rFonts w:hAnsi="Times New Roman" w:cs="Times New Roman"/>
          <w:lang w:val="en-US"/>
        </w:rPr>
        <w:t xml:space="preserve">. </w:t>
      </w:r>
      <w:proofErr w:type="spellStart"/>
      <w:r w:rsidRPr="001B2DF9">
        <w:rPr>
          <w:rFonts w:hAnsi="Times New Roman" w:cs="Times New Roman"/>
          <w:lang w:val="en-US"/>
        </w:rPr>
        <w:t>Civitas</w:t>
      </w:r>
      <w:proofErr w:type="spellEnd"/>
      <w:r w:rsidR="001B2DF9">
        <w:rPr>
          <w:rFonts w:hAnsi="Times New Roman" w:cs="Times New Roman"/>
          <w:lang w:val="en-US"/>
        </w:rPr>
        <w:t xml:space="preserve"> </w:t>
      </w:r>
      <w:r w:rsidRPr="001B2DF9">
        <w:rPr>
          <w:rFonts w:hAnsi="Times New Roman" w:cs="Times New Roman"/>
          <w:lang w:val="en-US"/>
        </w:rPr>
        <w:t>Thomson Reuters 2013.</w:t>
      </w:r>
    </w:p>
    <w:p w14:paraId="33FFA507" w14:textId="77777777" w:rsidR="008B7DBA" w:rsidRDefault="008B7DBA" w:rsidP="008B7DBA">
      <w:pPr>
        <w:widowControl w:val="0"/>
        <w:ind w:left="720"/>
        <w:jc w:val="both"/>
      </w:pPr>
    </w:p>
    <w:p w14:paraId="1F8419FB" w14:textId="2BE28372" w:rsidR="008B7DBA" w:rsidRDefault="008B7DBA" w:rsidP="008B7DBA">
      <w:pPr>
        <w:widowControl w:val="0"/>
        <w:ind w:left="720"/>
        <w:jc w:val="both"/>
        <w:rPr>
          <w:b/>
        </w:rPr>
      </w:pPr>
      <w:r w:rsidRPr="001B2DF9">
        <w:rPr>
          <w:b/>
        </w:rPr>
        <w:t xml:space="preserve">Electoral Observation </w:t>
      </w:r>
    </w:p>
    <w:p w14:paraId="2BD96E21" w14:textId="77777777" w:rsidR="001B2DF9" w:rsidRPr="001B2DF9" w:rsidRDefault="001B2DF9" w:rsidP="008B7DBA">
      <w:pPr>
        <w:widowControl w:val="0"/>
        <w:ind w:left="720"/>
        <w:jc w:val="both"/>
        <w:rPr>
          <w:b/>
        </w:rPr>
      </w:pPr>
    </w:p>
    <w:p w14:paraId="08EC7C1A" w14:textId="18BADECC" w:rsidR="008B7DBA" w:rsidRDefault="008B7DBA" w:rsidP="001B2DF9">
      <w:pPr>
        <w:pStyle w:val="Prrafodelista"/>
        <w:widowControl w:val="0"/>
        <w:numPr>
          <w:ilvl w:val="1"/>
          <w:numId w:val="29"/>
        </w:numPr>
        <w:ind w:left="851"/>
        <w:jc w:val="both"/>
      </w:pPr>
      <w:r>
        <w:t xml:space="preserve">Report on an internationally recognised status of election observers (European Commission for Democracy Through Law, Venice Commission, Council of Europe, 2nd group tutor session 9 February Election observation and recommendations: Spain parliamentary elections, December 2015 </w:t>
      </w:r>
    </w:p>
    <w:p w14:paraId="4242BD2C" w14:textId="6F1A40F1" w:rsidR="003561C2" w:rsidRDefault="001B2DF9" w:rsidP="00E642FF">
      <w:pPr>
        <w:jc w:val="both"/>
        <w:rPr>
          <w:rFonts w:hAnsi="Times New Roman" w:cs="Times New Roman"/>
          <w:lang w:val="en-US"/>
        </w:rPr>
      </w:pPr>
      <w:r>
        <w:rPr>
          <w:rFonts w:hAnsi="Times New Roman" w:cs="Times New Roman"/>
          <w:lang w:val="en-US"/>
        </w:rPr>
        <w:t xml:space="preserve"> </w:t>
      </w:r>
      <w:bookmarkStart w:id="0" w:name="_GoBack"/>
      <w:bookmarkEnd w:id="0"/>
    </w:p>
    <w:sectPr w:rsidR="003561C2">
      <w:foot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BCA90" w14:textId="77777777" w:rsidR="00D73033" w:rsidRDefault="00D73033">
      <w:r>
        <w:separator/>
      </w:r>
    </w:p>
  </w:endnote>
  <w:endnote w:type="continuationSeparator" w:id="0">
    <w:p w14:paraId="7F86E1AB" w14:textId="77777777" w:rsidR="00D73033" w:rsidRDefault="00D7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variable"/>
    <w:sig w:usb0="00000000"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8D600" w14:textId="23898921" w:rsidR="00136DE6" w:rsidRDefault="00136DE6">
    <w:pPr>
      <w:pStyle w:val="Cabeceraypi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fldChar w:fldCharType="begin"/>
    </w:r>
    <w:r>
      <w:instrText xml:space="preserve"> PAGE </w:instrText>
    </w:r>
    <w:r>
      <w:fldChar w:fldCharType="separate"/>
    </w:r>
    <w:r w:rsidR="001B2DF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7D4A3" w14:textId="77777777" w:rsidR="00D73033" w:rsidRDefault="00D73033">
      <w:r>
        <w:separator/>
      </w:r>
    </w:p>
  </w:footnote>
  <w:footnote w:type="continuationSeparator" w:id="0">
    <w:p w14:paraId="56A74F0F" w14:textId="77777777" w:rsidR="00D73033" w:rsidRDefault="00D73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2330"/>
    <w:multiLevelType w:val="multilevel"/>
    <w:tmpl w:val="62F0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62310"/>
    <w:multiLevelType w:val="multilevel"/>
    <w:tmpl w:val="C48A6ED4"/>
    <w:styleLink w:val="Estiloimportado4"/>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 w15:restartNumberingAfterBreak="0">
    <w:nsid w:val="141E6947"/>
    <w:multiLevelType w:val="multilevel"/>
    <w:tmpl w:val="26A6F4EA"/>
    <w:styleLink w:val="List1"/>
    <w:lvl w:ilvl="0">
      <w:start w:val="1"/>
      <w:numFmt w:val="bullet"/>
      <w:lvlText w:val="•"/>
      <w:lvlJc w:val="left"/>
      <w:rPr>
        <w:position w:val="0"/>
        <w:lang w:val="en-US"/>
      </w:rPr>
    </w:lvl>
    <w:lvl w:ilv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3" w15:restartNumberingAfterBreak="0">
    <w:nsid w:val="169E518E"/>
    <w:multiLevelType w:val="hybridMultilevel"/>
    <w:tmpl w:val="FDE4CE9E"/>
    <w:lvl w:ilvl="0" w:tplc="BA943A24">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7D6335A"/>
    <w:multiLevelType w:val="hybridMultilevel"/>
    <w:tmpl w:val="61EACE7E"/>
    <w:lvl w:ilvl="0" w:tplc="BA943A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7E1180"/>
    <w:multiLevelType w:val="multilevel"/>
    <w:tmpl w:val="234C629A"/>
    <w:lvl w:ilvl="0">
      <w:start w:val="1"/>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6" w15:restartNumberingAfterBreak="0">
    <w:nsid w:val="1C714668"/>
    <w:multiLevelType w:val="multilevel"/>
    <w:tmpl w:val="9780A25E"/>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7" w15:restartNumberingAfterBreak="0">
    <w:nsid w:val="1C9E0F63"/>
    <w:multiLevelType w:val="multilevel"/>
    <w:tmpl w:val="EA64C45A"/>
    <w:styleLink w:val="List0"/>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8" w15:restartNumberingAfterBreak="0">
    <w:nsid w:val="1EA14849"/>
    <w:multiLevelType w:val="multilevel"/>
    <w:tmpl w:val="ADFAF8BE"/>
    <w:lvl w:ilvl="0">
      <w:numFmt w:val="bullet"/>
      <w:lvlText w:val="⎯"/>
      <w:lvlJc w:val="left"/>
      <w:rPr>
        <w:position w:val="0"/>
        <w:lang w:val="es-ES_tradnl"/>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9" w15:restartNumberingAfterBreak="0">
    <w:nsid w:val="21D9492A"/>
    <w:multiLevelType w:val="multilevel"/>
    <w:tmpl w:val="160E8AC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15:restartNumberingAfterBreak="0">
    <w:nsid w:val="26B411B1"/>
    <w:multiLevelType w:val="multilevel"/>
    <w:tmpl w:val="CE644A14"/>
    <w:styleLink w:val="Estiloimportado5"/>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1" w15:restartNumberingAfterBreak="0">
    <w:nsid w:val="2AEB2857"/>
    <w:multiLevelType w:val="multilevel"/>
    <w:tmpl w:val="B8725CDE"/>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2" w15:restartNumberingAfterBreak="0">
    <w:nsid w:val="2BEE77AB"/>
    <w:multiLevelType w:val="hybridMultilevel"/>
    <w:tmpl w:val="A802D5B0"/>
    <w:lvl w:ilvl="0" w:tplc="BA943A24">
      <w:start w:val="1"/>
      <w:numFmt w:val="bullet"/>
      <w:lvlText w:val=""/>
      <w:lvlJc w:val="left"/>
      <w:pPr>
        <w:ind w:left="1440" w:hanging="360"/>
      </w:pPr>
      <w:rPr>
        <w:rFonts w:ascii="Symbol" w:hAnsi="Symbol" w:hint="default"/>
      </w:rPr>
    </w:lvl>
    <w:lvl w:ilvl="1" w:tplc="82E04312">
      <w:start w:val="42"/>
      <w:numFmt w:val="bullet"/>
      <w:lvlText w:val="-"/>
      <w:lvlJc w:val="left"/>
      <w:pPr>
        <w:ind w:left="2160" w:hanging="360"/>
      </w:pPr>
      <w:rPr>
        <w:rFonts w:ascii="Times New Roman" w:eastAsia="Arial Unicode MS" w:hAnsi="Times New Roman" w:cs="Times New Roman"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2E63405F"/>
    <w:multiLevelType w:val="hybridMultilevel"/>
    <w:tmpl w:val="9900FE88"/>
    <w:lvl w:ilvl="0" w:tplc="BA943A24">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2FBA2EBB"/>
    <w:multiLevelType w:val="multilevel"/>
    <w:tmpl w:val="DC1CC0B6"/>
    <w:lvl w:ilvl="0">
      <w:start w:val="1"/>
      <w:numFmt w:val="bullet"/>
      <w:lvlText w:val="⎯"/>
      <w:lvlJc w:val="left"/>
      <w:rPr>
        <w:position w:val="0"/>
        <w:rtl w:val="0"/>
        <w:lang w:val="fr-FR"/>
      </w:rPr>
    </w:lvl>
    <w:lvl w:ilvl="1">
      <w:start w:val="1"/>
      <w:numFmt w:val="bullet"/>
      <w:lvlText w:val="o"/>
      <w:lvlJc w:val="left"/>
      <w:rPr>
        <w:position w:val="0"/>
        <w:rtl w:val="0"/>
        <w:lang w:val="fr-FR"/>
      </w:rPr>
    </w:lvl>
    <w:lvl w:ilvl="2">
      <w:start w:val="1"/>
      <w:numFmt w:val="bullet"/>
      <w:lvlText w:val="▪"/>
      <w:lvlJc w:val="left"/>
      <w:rPr>
        <w:position w:val="0"/>
        <w:rtl w:val="0"/>
        <w:lang w:val="fr-FR"/>
      </w:rPr>
    </w:lvl>
    <w:lvl w:ilvl="3">
      <w:start w:val="1"/>
      <w:numFmt w:val="bullet"/>
      <w:lvlText w:val="•"/>
      <w:lvlJc w:val="left"/>
      <w:rPr>
        <w:position w:val="0"/>
        <w:rtl w:val="0"/>
        <w:lang w:val="fr-FR"/>
      </w:rPr>
    </w:lvl>
    <w:lvl w:ilvl="4">
      <w:start w:val="1"/>
      <w:numFmt w:val="bullet"/>
      <w:lvlText w:val="o"/>
      <w:lvlJc w:val="left"/>
      <w:rPr>
        <w:position w:val="0"/>
        <w:rtl w:val="0"/>
        <w:lang w:val="fr-FR"/>
      </w:rPr>
    </w:lvl>
    <w:lvl w:ilvl="5">
      <w:start w:val="1"/>
      <w:numFmt w:val="bullet"/>
      <w:lvlText w:val="▪"/>
      <w:lvlJc w:val="left"/>
      <w:rPr>
        <w:position w:val="0"/>
        <w:rtl w:val="0"/>
        <w:lang w:val="fr-FR"/>
      </w:rPr>
    </w:lvl>
    <w:lvl w:ilvl="6">
      <w:start w:val="1"/>
      <w:numFmt w:val="bullet"/>
      <w:lvlText w:val="•"/>
      <w:lvlJc w:val="left"/>
      <w:rPr>
        <w:position w:val="0"/>
        <w:rtl w:val="0"/>
        <w:lang w:val="fr-FR"/>
      </w:rPr>
    </w:lvl>
    <w:lvl w:ilvl="7">
      <w:start w:val="1"/>
      <w:numFmt w:val="bullet"/>
      <w:lvlText w:val="o"/>
      <w:lvlJc w:val="left"/>
      <w:rPr>
        <w:position w:val="0"/>
        <w:rtl w:val="0"/>
        <w:lang w:val="fr-FR"/>
      </w:rPr>
    </w:lvl>
    <w:lvl w:ilvl="8">
      <w:start w:val="1"/>
      <w:numFmt w:val="bullet"/>
      <w:lvlText w:val="▪"/>
      <w:lvlJc w:val="left"/>
      <w:rPr>
        <w:position w:val="0"/>
        <w:rtl w:val="0"/>
        <w:lang w:val="fr-FR"/>
      </w:rPr>
    </w:lvl>
  </w:abstractNum>
  <w:abstractNum w:abstractNumId="15" w15:restartNumberingAfterBreak="0">
    <w:nsid w:val="31A71369"/>
    <w:multiLevelType w:val="multilevel"/>
    <w:tmpl w:val="B0D46A66"/>
    <w:lvl w:ilvl="0">
      <w:numFmt w:val="bullet"/>
      <w:lvlText w:val="⎯"/>
      <w:lvlJc w:val="left"/>
      <w:pPr>
        <w:tabs>
          <w:tab w:val="num" w:pos="720"/>
        </w:tabs>
        <w:ind w:left="72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6" w15:restartNumberingAfterBreak="0">
    <w:nsid w:val="32BF7D57"/>
    <w:multiLevelType w:val="multilevel"/>
    <w:tmpl w:val="9434F8A2"/>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7" w15:restartNumberingAfterBreak="0">
    <w:nsid w:val="377D04A8"/>
    <w:multiLevelType w:val="hybridMultilevel"/>
    <w:tmpl w:val="312E4184"/>
    <w:lvl w:ilvl="0" w:tplc="1B94474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7BE396A"/>
    <w:multiLevelType w:val="hybridMultilevel"/>
    <w:tmpl w:val="92D47432"/>
    <w:lvl w:ilvl="0" w:tplc="BA943A24">
      <w:start w:val="1"/>
      <w:numFmt w:val="bullet"/>
      <w:lvlText w:val=""/>
      <w:lvlJc w:val="left"/>
      <w:pPr>
        <w:ind w:left="1440" w:hanging="360"/>
      </w:pPr>
      <w:rPr>
        <w:rFonts w:ascii="Symbol" w:hAnsi="Symbol" w:hint="default"/>
      </w:rPr>
    </w:lvl>
    <w:lvl w:ilvl="1" w:tplc="BA943A24">
      <w:start w:val="1"/>
      <w:numFmt w:val="bullet"/>
      <w:lvlText w:val=""/>
      <w:lvlJc w:val="left"/>
      <w:pPr>
        <w:ind w:left="2160" w:hanging="360"/>
      </w:pPr>
      <w:rPr>
        <w:rFonts w:ascii="Symbol" w:hAnsi="Symbol"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3E66081E"/>
    <w:multiLevelType w:val="hybridMultilevel"/>
    <w:tmpl w:val="FF366F72"/>
    <w:lvl w:ilvl="0" w:tplc="FEF0D138">
      <w:start w:val="42"/>
      <w:numFmt w:val="bullet"/>
      <w:lvlText w:val="-"/>
      <w:lvlJc w:val="left"/>
      <w:pPr>
        <w:ind w:left="1080" w:hanging="360"/>
      </w:pPr>
      <w:rPr>
        <w:rFonts w:ascii="Times New Roman" w:eastAsia="Arial Unicode MS"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3EE4040B"/>
    <w:multiLevelType w:val="hybridMultilevel"/>
    <w:tmpl w:val="91D03D5C"/>
    <w:lvl w:ilvl="0" w:tplc="BA943A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F847E2C"/>
    <w:multiLevelType w:val="multilevel"/>
    <w:tmpl w:val="7240A23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15:restartNumberingAfterBreak="0">
    <w:nsid w:val="425C100D"/>
    <w:multiLevelType w:val="multilevel"/>
    <w:tmpl w:val="C6B835D4"/>
    <w:lvl w:ilvl="0">
      <w:numFmt w:val="bullet"/>
      <w:lvlText w:val="⎯"/>
      <w:lvlJc w:val="left"/>
      <w:rPr>
        <w:position w:val="0"/>
        <w:rtl w:val="0"/>
        <w:lang w:val="fr-FR"/>
      </w:rPr>
    </w:lvl>
    <w:lvl w:ilvl="1">
      <w:start w:val="1"/>
      <w:numFmt w:val="bullet"/>
      <w:lvlText w:val="o"/>
      <w:lvlJc w:val="left"/>
      <w:rPr>
        <w:position w:val="0"/>
        <w:rtl w:val="0"/>
        <w:lang w:val="fr-FR"/>
      </w:rPr>
    </w:lvl>
    <w:lvl w:ilvl="2">
      <w:start w:val="1"/>
      <w:numFmt w:val="bullet"/>
      <w:lvlText w:val="▪"/>
      <w:lvlJc w:val="left"/>
      <w:rPr>
        <w:position w:val="0"/>
        <w:rtl w:val="0"/>
        <w:lang w:val="fr-FR"/>
      </w:rPr>
    </w:lvl>
    <w:lvl w:ilvl="3">
      <w:start w:val="1"/>
      <w:numFmt w:val="bullet"/>
      <w:lvlText w:val="•"/>
      <w:lvlJc w:val="left"/>
      <w:rPr>
        <w:position w:val="0"/>
        <w:rtl w:val="0"/>
        <w:lang w:val="fr-FR"/>
      </w:rPr>
    </w:lvl>
    <w:lvl w:ilvl="4">
      <w:start w:val="1"/>
      <w:numFmt w:val="bullet"/>
      <w:lvlText w:val="o"/>
      <w:lvlJc w:val="left"/>
      <w:rPr>
        <w:position w:val="0"/>
        <w:rtl w:val="0"/>
        <w:lang w:val="fr-FR"/>
      </w:rPr>
    </w:lvl>
    <w:lvl w:ilvl="5">
      <w:start w:val="1"/>
      <w:numFmt w:val="bullet"/>
      <w:lvlText w:val="▪"/>
      <w:lvlJc w:val="left"/>
      <w:rPr>
        <w:position w:val="0"/>
        <w:rtl w:val="0"/>
        <w:lang w:val="fr-FR"/>
      </w:rPr>
    </w:lvl>
    <w:lvl w:ilvl="6">
      <w:start w:val="1"/>
      <w:numFmt w:val="bullet"/>
      <w:lvlText w:val="•"/>
      <w:lvlJc w:val="left"/>
      <w:rPr>
        <w:position w:val="0"/>
        <w:rtl w:val="0"/>
        <w:lang w:val="fr-FR"/>
      </w:rPr>
    </w:lvl>
    <w:lvl w:ilvl="7">
      <w:start w:val="1"/>
      <w:numFmt w:val="bullet"/>
      <w:lvlText w:val="o"/>
      <w:lvlJc w:val="left"/>
      <w:rPr>
        <w:position w:val="0"/>
        <w:rtl w:val="0"/>
        <w:lang w:val="fr-FR"/>
      </w:rPr>
    </w:lvl>
    <w:lvl w:ilvl="8">
      <w:start w:val="1"/>
      <w:numFmt w:val="bullet"/>
      <w:lvlText w:val="▪"/>
      <w:lvlJc w:val="left"/>
      <w:rPr>
        <w:position w:val="0"/>
        <w:rtl w:val="0"/>
        <w:lang w:val="fr-FR"/>
      </w:rPr>
    </w:lvl>
  </w:abstractNum>
  <w:abstractNum w:abstractNumId="23" w15:restartNumberingAfterBreak="0">
    <w:nsid w:val="4E01414A"/>
    <w:multiLevelType w:val="multilevel"/>
    <w:tmpl w:val="DD62B60A"/>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24" w15:restartNumberingAfterBreak="0">
    <w:nsid w:val="57CF5B6F"/>
    <w:multiLevelType w:val="hybridMultilevel"/>
    <w:tmpl w:val="614C0382"/>
    <w:lvl w:ilvl="0" w:tplc="97562FA0">
      <w:start w:val="42"/>
      <w:numFmt w:val="bullet"/>
      <w:lvlText w:val="-"/>
      <w:lvlJc w:val="left"/>
      <w:pPr>
        <w:ind w:left="1080" w:hanging="360"/>
      </w:pPr>
      <w:rPr>
        <w:rFonts w:ascii="Times New Roman" w:eastAsia="Arial Unicode MS"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5A4B3EDE"/>
    <w:multiLevelType w:val="hybridMultilevel"/>
    <w:tmpl w:val="0CC65D1C"/>
    <w:lvl w:ilvl="0" w:tplc="BA943A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6B738F5"/>
    <w:multiLevelType w:val="multilevel"/>
    <w:tmpl w:val="A3D46D08"/>
    <w:lvl w:ilvl="0">
      <w:start w:val="1"/>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27" w15:restartNumberingAfterBreak="0">
    <w:nsid w:val="69290D62"/>
    <w:multiLevelType w:val="hybridMultilevel"/>
    <w:tmpl w:val="43A81A28"/>
    <w:lvl w:ilvl="0" w:tplc="BA943A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1CC7442"/>
    <w:multiLevelType w:val="multilevel"/>
    <w:tmpl w:val="A6626AC4"/>
    <w:lvl w:ilvl="0">
      <w:start w:val="1"/>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num w:numId="1">
    <w:abstractNumId w:val="26"/>
  </w:num>
  <w:num w:numId="2">
    <w:abstractNumId w:val="9"/>
  </w:num>
  <w:num w:numId="3">
    <w:abstractNumId w:val="16"/>
  </w:num>
  <w:num w:numId="4">
    <w:abstractNumId w:val="28"/>
  </w:num>
  <w:num w:numId="5">
    <w:abstractNumId w:val="21"/>
  </w:num>
  <w:num w:numId="6">
    <w:abstractNumId w:val="23"/>
  </w:num>
  <w:num w:numId="7">
    <w:abstractNumId w:val="2"/>
  </w:num>
  <w:num w:numId="8">
    <w:abstractNumId w:val="7"/>
  </w:num>
  <w:num w:numId="9">
    <w:abstractNumId w:val="14"/>
  </w:num>
  <w:num w:numId="10">
    <w:abstractNumId w:val="22"/>
  </w:num>
  <w:num w:numId="11">
    <w:abstractNumId w:val="11"/>
  </w:num>
  <w:num w:numId="12">
    <w:abstractNumId w:val="8"/>
  </w:num>
  <w:num w:numId="13">
    <w:abstractNumId w:val="1"/>
  </w:num>
  <w:num w:numId="14">
    <w:abstractNumId w:val="5"/>
  </w:num>
  <w:num w:numId="15">
    <w:abstractNumId w:val="6"/>
  </w:num>
  <w:num w:numId="16">
    <w:abstractNumId w:val="15"/>
  </w:num>
  <w:num w:numId="17">
    <w:abstractNumId w:val="10"/>
  </w:num>
  <w:num w:numId="18">
    <w:abstractNumId w:val="0"/>
  </w:num>
  <w:num w:numId="19">
    <w:abstractNumId w:val="27"/>
  </w:num>
  <w:num w:numId="20">
    <w:abstractNumId w:val="20"/>
  </w:num>
  <w:num w:numId="21">
    <w:abstractNumId w:val="17"/>
  </w:num>
  <w:num w:numId="22">
    <w:abstractNumId w:val="4"/>
  </w:num>
  <w:num w:numId="23">
    <w:abstractNumId w:val="25"/>
  </w:num>
  <w:num w:numId="24">
    <w:abstractNumId w:val="3"/>
  </w:num>
  <w:num w:numId="25">
    <w:abstractNumId w:val="13"/>
  </w:num>
  <w:num w:numId="26">
    <w:abstractNumId w:val="19"/>
  </w:num>
  <w:num w:numId="27">
    <w:abstractNumId w:val="12"/>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C2"/>
    <w:rsid w:val="000A0945"/>
    <w:rsid w:val="00136DE6"/>
    <w:rsid w:val="00170518"/>
    <w:rsid w:val="001A4833"/>
    <w:rsid w:val="001B23EA"/>
    <w:rsid w:val="001B2DF9"/>
    <w:rsid w:val="00204F7B"/>
    <w:rsid w:val="00234892"/>
    <w:rsid w:val="002B061F"/>
    <w:rsid w:val="002C1867"/>
    <w:rsid w:val="002D400A"/>
    <w:rsid w:val="002E2937"/>
    <w:rsid w:val="00322735"/>
    <w:rsid w:val="0035312D"/>
    <w:rsid w:val="003561C2"/>
    <w:rsid w:val="003B7A95"/>
    <w:rsid w:val="003E2AC6"/>
    <w:rsid w:val="003F3A7D"/>
    <w:rsid w:val="00410FDE"/>
    <w:rsid w:val="0045014F"/>
    <w:rsid w:val="00474B61"/>
    <w:rsid w:val="00486114"/>
    <w:rsid w:val="00492A8D"/>
    <w:rsid w:val="00503EC1"/>
    <w:rsid w:val="005247E6"/>
    <w:rsid w:val="005818EC"/>
    <w:rsid w:val="00590698"/>
    <w:rsid w:val="0073375F"/>
    <w:rsid w:val="007B4068"/>
    <w:rsid w:val="00811F94"/>
    <w:rsid w:val="0083141E"/>
    <w:rsid w:val="0084183D"/>
    <w:rsid w:val="00841DDB"/>
    <w:rsid w:val="008B7DBA"/>
    <w:rsid w:val="008D01A8"/>
    <w:rsid w:val="009113B0"/>
    <w:rsid w:val="00911FDA"/>
    <w:rsid w:val="00964533"/>
    <w:rsid w:val="009C44E7"/>
    <w:rsid w:val="00AA0CD0"/>
    <w:rsid w:val="00B21444"/>
    <w:rsid w:val="00B37FC6"/>
    <w:rsid w:val="00B56726"/>
    <w:rsid w:val="00B723F9"/>
    <w:rsid w:val="00BA134B"/>
    <w:rsid w:val="00BC1B51"/>
    <w:rsid w:val="00BE63B9"/>
    <w:rsid w:val="00C03EF2"/>
    <w:rsid w:val="00C14938"/>
    <w:rsid w:val="00C65EC6"/>
    <w:rsid w:val="00D060E3"/>
    <w:rsid w:val="00D17255"/>
    <w:rsid w:val="00D73033"/>
    <w:rsid w:val="00DD5F96"/>
    <w:rsid w:val="00E057CD"/>
    <w:rsid w:val="00E21E4D"/>
    <w:rsid w:val="00E27D15"/>
    <w:rsid w:val="00E35C48"/>
    <w:rsid w:val="00E642FF"/>
    <w:rsid w:val="00EE2ACF"/>
    <w:rsid w:val="00F035FA"/>
    <w:rsid w:val="00F55F3D"/>
    <w:rsid w:val="00FE5ED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B7433E"/>
  <w15:docId w15:val="{7D53D16A-EDB2-439B-8A93-ACD6647B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rFonts w:hAnsi="Arial Unicode MS" w:cs="Arial Unicode MS"/>
      <w:color w:val="000000"/>
      <w:sz w:val="24"/>
      <w:szCs w:val="24"/>
      <w:u w:color="000000"/>
      <w:lang w:val="it-I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Arial Unicode MS" w:cs="Arial Unicode MS"/>
      <w:color w:val="000000"/>
      <w:sz w:val="24"/>
      <w:szCs w:val="24"/>
    </w:rPr>
  </w:style>
  <w:style w:type="character" w:customStyle="1" w:styleId="Ninguno">
    <w:name w:val="Ninguno"/>
  </w:style>
  <w:style w:type="character" w:customStyle="1" w:styleId="Hyperlink0">
    <w:name w:val="Hyperlink.0"/>
    <w:basedOn w:val="Ninguno"/>
    <w:rPr>
      <w:color w:val="0000FF"/>
      <w:u w:val="single" w:color="0000FF"/>
      <w:lang w:val="en-US"/>
    </w:rPr>
  </w:style>
  <w:style w:type="character" w:customStyle="1" w:styleId="Hyperlink1">
    <w:name w:val="Hyperlink.1"/>
    <w:basedOn w:val="Ninguno"/>
    <w:rPr>
      <w:color w:val="0000FF"/>
      <w:u w:val="single" w:color="0000FF"/>
      <w:lang w:val="en-US"/>
    </w:rPr>
  </w:style>
  <w:style w:type="numbering" w:customStyle="1" w:styleId="List0">
    <w:name w:val="List 0"/>
    <w:basedOn w:val="Estiloimportado1"/>
    <w:pPr>
      <w:numPr>
        <w:numId w:val="8"/>
      </w:numPr>
    </w:pPr>
  </w:style>
  <w:style w:type="numbering" w:customStyle="1" w:styleId="Estiloimportado1">
    <w:name w:val="Estilo importado 1"/>
  </w:style>
  <w:style w:type="numbering" w:customStyle="1" w:styleId="List1">
    <w:name w:val="List 1"/>
    <w:basedOn w:val="Estiloimportado2"/>
    <w:pPr>
      <w:numPr>
        <w:numId w:val="7"/>
      </w:numPr>
    </w:pPr>
  </w:style>
  <w:style w:type="numbering" w:customStyle="1" w:styleId="Estiloimportado2">
    <w:name w:val="Estilo importado 2"/>
  </w:style>
  <w:style w:type="numbering" w:customStyle="1" w:styleId="Estiloimportado4">
    <w:name w:val="Estilo importado 4"/>
    <w:pPr>
      <w:numPr>
        <w:numId w:val="13"/>
      </w:numPr>
    </w:pPr>
  </w:style>
  <w:style w:type="numbering" w:customStyle="1" w:styleId="Estiloimportado5">
    <w:name w:val="Estilo importado 5"/>
    <w:pPr>
      <w:numPr>
        <w:numId w:val="17"/>
      </w:numPr>
    </w:pPr>
  </w:style>
  <w:style w:type="paragraph" w:styleId="Prrafodelista">
    <w:name w:val="List Paragraph"/>
    <w:basedOn w:val="Normal"/>
    <w:uiPriority w:val="34"/>
    <w:qFormat/>
    <w:rsid w:val="00E35C48"/>
    <w:pPr>
      <w:ind w:left="720"/>
      <w:contextualSpacing/>
    </w:pPr>
  </w:style>
  <w:style w:type="paragraph" w:styleId="Textodeglobo">
    <w:name w:val="Balloon Text"/>
    <w:basedOn w:val="Normal"/>
    <w:link w:val="TextodegloboCar"/>
    <w:uiPriority w:val="99"/>
    <w:semiHidden/>
    <w:unhideWhenUsed/>
    <w:rsid w:val="0045014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5014F"/>
    <w:rPr>
      <w:rFonts w:ascii="Lucida Grande" w:hAnsi="Lucida Grande" w:cs="Lucida Grande"/>
      <w:color w:val="000000"/>
      <w:sz w:val="18"/>
      <w:szCs w:val="18"/>
      <w:u w:color="000000"/>
      <w:lang w:val="it-IT" w:eastAsia="en-US"/>
    </w:rPr>
  </w:style>
  <w:style w:type="paragraph" w:styleId="NormalWeb">
    <w:name w:val="Normal (Web)"/>
    <w:basedOn w:val="Normal"/>
    <w:uiPriority w:val="99"/>
    <w:semiHidden/>
    <w:unhideWhenUsed/>
    <w:rsid w:val="004861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cs="Times New Roman"/>
      <w:color w:val="auto"/>
      <w:sz w:val="20"/>
      <w:szCs w:val="20"/>
      <w:bdr w:val="none" w:sz="0" w:space="0" w:color="auto"/>
      <w:lang w:val="es-ES" w:eastAsia="es-ES"/>
    </w:rPr>
  </w:style>
  <w:style w:type="paragraph" w:customStyle="1" w:styleId="Default">
    <w:name w:val="Default"/>
    <w:rsid w:val="00B567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2657">
      <w:bodyDiv w:val="1"/>
      <w:marLeft w:val="0"/>
      <w:marRight w:val="0"/>
      <w:marTop w:val="0"/>
      <w:marBottom w:val="0"/>
      <w:divBdr>
        <w:top w:val="none" w:sz="0" w:space="0" w:color="auto"/>
        <w:left w:val="none" w:sz="0" w:space="0" w:color="auto"/>
        <w:bottom w:val="none" w:sz="0" w:space="0" w:color="auto"/>
        <w:right w:val="none" w:sz="0" w:space="0" w:color="auto"/>
      </w:divBdr>
      <w:divsChild>
        <w:div w:id="132985756">
          <w:marLeft w:val="0"/>
          <w:marRight w:val="0"/>
          <w:marTop w:val="0"/>
          <w:marBottom w:val="0"/>
          <w:divBdr>
            <w:top w:val="none" w:sz="0" w:space="0" w:color="auto"/>
            <w:left w:val="none" w:sz="0" w:space="0" w:color="auto"/>
            <w:bottom w:val="none" w:sz="0" w:space="0" w:color="auto"/>
            <w:right w:val="none" w:sz="0" w:space="0" w:color="auto"/>
          </w:divBdr>
          <w:divsChild>
            <w:div w:id="1235433676">
              <w:marLeft w:val="0"/>
              <w:marRight w:val="0"/>
              <w:marTop w:val="0"/>
              <w:marBottom w:val="0"/>
              <w:divBdr>
                <w:top w:val="none" w:sz="0" w:space="0" w:color="auto"/>
                <w:left w:val="none" w:sz="0" w:space="0" w:color="auto"/>
                <w:bottom w:val="none" w:sz="0" w:space="0" w:color="auto"/>
                <w:right w:val="none" w:sz="0" w:space="0" w:color="auto"/>
              </w:divBdr>
              <w:divsChild>
                <w:div w:id="16614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1910">
      <w:bodyDiv w:val="1"/>
      <w:marLeft w:val="0"/>
      <w:marRight w:val="0"/>
      <w:marTop w:val="0"/>
      <w:marBottom w:val="0"/>
      <w:divBdr>
        <w:top w:val="none" w:sz="0" w:space="0" w:color="auto"/>
        <w:left w:val="none" w:sz="0" w:space="0" w:color="auto"/>
        <w:bottom w:val="none" w:sz="0" w:space="0" w:color="auto"/>
        <w:right w:val="none" w:sz="0" w:space="0" w:color="auto"/>
      </w:divBdr>
      <w:divsChild>
        <w:div w:id="1648238731">
          <w:marLeft w:val="0"/>
          <w:marRight w:val="0"/>
          <w:marTop w:val="0"/>
          <w:marBottom w:val="0"/>
          <w:divBdr>
            <w:top w:val="none" w:sz="0" w:space="0" w:color="auto"/>
            <w:left w:val="none" w:sz="0" w:space="0" w:color="auto"/>
            <w:bottom w:val="none" w:sz="0" w:space="0" w:color="auto"/>
            <w:right w:val="none" w:sz="0" w:space="0" w:color="auto"/>
          </w:divBdr>
          <w:divsChild>
            <w:div w:id="1986936028">
              <w:marLeft w:val="0"/>
              <w:marRight w:val="0"/>
              <w:marTop w:val="0"/>
              <w:marBottom w:val="0"/>
              <w:divBdr>
                <w:top w:val="none" w:sz="0" w:space="0" w:color="auto"/>
                <w:left w:val="none" w:sz="0" w:space="0" w:color="auto"/>
                <w:bottom w:val="none" w:sz="0" w:space="0" w:color="auto"/>
                <w:right w:val="none" w:sz="0" w:space="0" w:color="auto"/>
              </w:divBdr>
              <w:divsChild>
                <w:div w:id="21365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06221">
      <w:bodyDiv w:val="1"/>
      <w:marLeft w:val="0"/>
      <w:marRight w:val="0"/>
      <w:marTop w:val="0"/>
      <w:marBottom w:val="0"/>
      <w:divBdr>
        <w:top w:val="none" w:sz="0" w:space="0" w:color="auto"/>
        <w:left w:val="none" w:sz="0" w:space="0" w:color="auto"/>
        <w:bottom w:val="none" w:sz="0" w:space="0" w:color="auto"/>
        <w:right w:val="none" w:sz="0" w:space="0" w:color="auto"/>
      </w:divBdr>
    </w:div>
    <w:div w:id="390350022">
      <w:bodyDiv w:val="1"/>
      <w:marLeft w:val="0"/>
      <w:marRight w:val="0"/>
      <w:marTop w:val="0"/>
      <w:marBottom w:val="0"/>
      <w:divBdr>
        <w:top w:val="none" w:sz="0" w:space="0" w:color="auto"/>
        <w:left w:val="none" w:sz="0" w:space="0" w:color="auto"/>
        <w:bottom w:val="none" w:sz="0" w:space="0" w:color="auto"/>
        <w:right w:val="none" w:sz="0" w:space="0" w:color="auto"/>
      </w:divBdr>
      <w:divsChild>
        <w:div w:id="351494715">
          <w:marLeft w:val="0"/>
          <w:marRight w:val="0"/>
          <w:marTop w:val="0"/>
          <w:marBottom w:val="0"/>
          <w:divBdr>
            <w:top w:val="none" w:sz="0" w:space="0" w:color="auto"/>
            <w:left w:val="none" w:sz="0" w:space="0" w:color="auto"/>
            <w:bottom w:val="none" w:sz="0" w:space="0" w:color="auto"/>
            <w:right w:val="none" w:sz="0" w:space="0" w:color="auto"/>
          </w:divBdr>
          <w:divsChild>
            <w:div w:id="93985671">
              <w:marLeft w:val="0"/>
              <w:marRight w:val="0"/>
              <w:marTop w:val="0"/>
              <w:marBottom w:val="0"/>
              <w:divBdr>
                <w:top w:val="none" w:sz="0" w:space="0" w:color="auto"/>
                <w:left w:val="none" w:sz="0" w:space="0" w:color="auto"/>
                <w:bottom w:val="none" w:sz="0" w:space="0" w:color="auto"/>
                <w:right w:val="none" w:sz="0" w:space="0" w:color="auto"/>
              </w:divBdr>
              <w:divsChild>
                <w:div w:id="363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71613">
      <w:bodyDiv w:val="1"/>
      <w:marLeft w:val="0"/>
      <w:marRight w:val="0"/>
      <w:marTop w:val="0"/>
      <w:marBottom w:val="0"/>
      <w:divBdr>
        <w:top w:val="none" w:sz="0" w:space="0" w:color="auto"/>
        <w:left w:val="none" w:sz="0" w:space="0" w:color="auto"/>
        <w:bottom w:val="none" w:sz="0" w:space="0" w:color="auto"/>
        <w:right w:val="none" w:sz="0" w:space="0" w:color="auto"/>
      </w:divBdr>
      <w:divsChild>
        <w:div w:id="2012294625">
          <w:marLeft w:val="0"/>
          <w:marRight w:val="0"/>
          <w:marTop w:val="0"/>
          <w:marBottom w:val="0"/>
          <w:divBdr>
            <w:top w:val="none" w:sz="0" w:space="0" w:color="auto"/>
            <w:left w:val="none" w:sz="0" w:space="0" w:color="auto"/>
            <w:bottom w:val="none" w:sz="0" w:space="0" w:color="auto"/>
            <w:right w:val="none" w:sz="0" w:space="0" w:color="auto"/>
          </w:divBdr>
          <w:divsChild>
            <w:div w:id="1830362267">
              <w:marLeft w:val="0"/>
              <w:marRight w:val="0"/>
              <w:marTop w:val="0"/>
              <w:marBottom w:val="0"/>
              <w:divBdr>
                <w:top w:val="none" w:sz="0" w:space="0" w:color="auto"/>
                <w:left w:val="none" w:sz="0" w:space="0" w:color="auto"/>
                <w:bottom w:val="none" w:sz="0" w:space="0" w:color="auto"/>
                <w:right w:val="none" w:sz="0" w:space="0" w:color="auto"/>
              </w:divBdr>
              <w:divsChild>
                <w:div w:id="18200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42953">
      <w:bodyDiv w:val="1"/>
      <w:marLeft w:val="0"/>
      <w:marRight w:val="0"/>
      <w:marTop w:val="0"/>
      <w:marBottom w:val="0"/>
      <w:divBdr>
        <w:top w:val="none" w:sz="0" w:space="0" w:color="auto"/>
        <w:left w:val="none" w:sz="0" w:space="0" w:color="auto"/>
        <w:bottom w:val="none" w:sz="0" w:space="0" w:color="auto"/>
        <w:right w:val="none" w:sz="0" w:space="0" w:color="auto"/>
      </w:divBdr>
      <w:divsChild>
        <w:div w:id="2008827994">
          <w:marLeft w:val="0"/>
          <w:marRight w:val="0"/>
          <w:marTop w:val="0"/>
          <w:marBottom w:val="0"/>
          <w:divBdr>
            <w:top w:val="none" w:sz="0" w:space="0" w:color="auto"/>
            <w:left w:val="none" w:sz="0" w:space="0" w:color="auto"/>
            <w:bottom w:val="none" w:sz="0" w:space="0" w:color="auto"/>
            <w:right w:val="none" w:sz="0" w:space="0" w:color="auto"/>
          </w:divBdr>
          <w:divsChild>
            <w:div w:id="685641492">
              <w:marLeft w:val="0"/>
              <w:marRight w:val="0"/>
              <w:marTop w:val="0"/>
              <w:marBottom w:val="0"/>
              <w:divBdr>
                <w:top w:val="none" w:sz="0" w:space="0" w:color="auto"/>
                <w:left w:val="none" w:sz="0" w:space="0" w:color="auto"/>
                <w:bottom w:val="none" w:sz="0" w:space="0" w:color="auto"/>
                <w:right w:val="none" w:sz="0" w:space="0" w:color="auto"/>
              </w:divBdr>
              <w:divsChild>
                <w:div w:id="9465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19967">
      <w:bodyDiv w:val="1"/>
      <w:marLeft w:val="0"/>
      <w:marRight w:val="0"/>
      <w:marTop w:val="0"/>
      <w:marBottom w:val="0"/>
      <w:divBdr>
        <w:top w:val="none" w:sz="0" w:space="0" w:color="auto"/>
        <w:left w:val="none" w:sz="0" w:space="0" w:color="auto"/>
        <w:bottom w:val="none" w:sz="0" w:space="0" w:color="auto"/>
        <w:right w:val="none" w:sz="0" w:space="0" w:color="auto"/>
      </w:divBdr>
    </w:div>
    <w:div w:id="1553153642">
      <w:bodyDiv w:val="1"/>
      <w:marLeft w:val="0"/>
      <w:marRight w:val="0"/>
      <w:marTop w:val="0"/>
      <w:marBottom w:val="0"/>
      <w:divBdr>
        <w:top w:val="none" w:sz="0" w:space="0" w:color="auto"/>
        <w:left w:val="none" w:sz="0" w:space="0" w:color="auto"/>
        <w:bottom w:val="none" w:sz="0" w:space="0" w:color="auto"/>
        <w:right w:val="none" w:sz="0" w:space="0" w:color="auto"/>
      </w:divBdr>
    </w:div>
    <w:div w:id="2075929705">
      <w:bodyDiv w:val="1"/>
      <w:marLeft w:val="0"/>
      <w:marRight w:val="0"/>
      <w:marTop w:val="0"/>
      <w:marBottom w:val="0"/>
      <w:divBdr>
        <w:top w:val="none" w:sz="0" w:space="0" w:color="auto"/>
        <w:left w:val="none" w:sz="0" w:space="0" w:color="auto"/>
        <w:bottom w:val="none" w:sz="0" w:space="0" w:color="auto"/>
        <w:right w:val="none" w:sz="0" w:space="0" w:color="auto"/>
      </w:divBdr>
      <w:divsChild>
        <w:div w:id="1950580384">
          <w:marLeft w:val="0"/>
          <w:marRight w:val="0"/>
          <w:marTop w:val="0"/>
          <w:marBottom w:val="0"/>
          <w:divBdr>
            <w:top w:val="none" w:sz="0" w:space="0" w:color="auto"/>
            <w:left w:val="none" w:sz="0" w:space="0" w:color="auto"/>
            <w:bottom w:val="none" w:sz="0" w:space="0" w:color="auto"/>
            <w:right w:val="none" w:sz="0" w:space="0" w:color="auto"/>
          </w:divBdr>
          <w:divsChild>
            <w:div w:id="437987704">
              <w:marLeft w:val="0"/>
              <w:marRight w:val="0"/>
              <w:marTop w:val="0"/>
              <w:marBottom w:val="0"/>
              <w:divBdr>
                <w:top w:val="none" w:sz="0" w:space="0" w:color="auto"/>
                <w:left w:val="none" w:sz="0" w:space="0" w:color="auto"/>
                <w:bottom w:val="none" w:sz="0" w:space="0" w:color="auto"/>
                <w:right w:val="none" w:sz="0" w:space="0" w:color="auto"/>
              </w:divBdr>
              <w:divsChild>
                <w:div w:id="62851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dea.int/publications/electoral_law_la/upload/inlay_tratad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1120</Words>
  <Characters>6160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Covadonga</dc:creator>
  <cp:lastModifiedBy>Beita Ferrer Martín de Vidales</cp:lastModifiedBy>
  <cp:revision>3</cp:revision>
  <cp:lastPrinted>2017-01-01T19:08:00Z</cp:lastPrinted>
  <dcterms:created xsi:type="dcterms:W3CDTF">2017-02-01T15:50:00Z</dcterms:created>
  <dcterms:modified xsi:type="dcterms:W3CDTF">2017-02-01T16:21:00Z</dcterms:modified>
</cp:coreProperties>
</file>