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3561C2" w:rsidRPr="00E21E4D" w14:paraId="36284EBA" w14:textId="77777777" w:rsidTr="00E21E4D">
        <w:trPr>
          <w:trHeight w:val="355"/>
        </w:trPr>
        <w:tc>
          <w:tcPr>
            <w:tcW w:w="9632" w:type="dxa"/>
            <w:tcBorders>
              <w:top w:val="nil"/>
              <w:left w:val="nil"/>
              <w:bottom w:val="nil"/>
              <w:right w:val="nil"/>
            </w:tcBorders>
            <w:shd w:val="clear" w:color="auto" w:fill="D9D9D9" w:themeFill="background1" w:themeFillShade="D9"/>
            <w:tcMar>
              <w:top w:w="80" w:type="dxa"/>
              <w:left w:w="80" w:type="dxa"/>
              <w:bottom w:w="80" w:type="dxa"/>
              <w:right w:w="80" w:type="dxa"/>
            </w:tcMar>
          </w:tcPr>
          <w:p w14:paraId="338CA87B" w14:textId="26817F59" w:rsidR="003561C2" w:rsidRPr="00E21E4D" w:rsidRDefault="00E21E4D" w:rsidP="00E642FF">
            <w:pPr>
              <w:rPr>
                <w:rFonts w:hAnsi="Times New Roman" w:cs="Times New Roman"/>
                <w:b/>
              </w:rPr>
            </w:pPr>
            <w:r w:rsidRPr="00E21E4D">
              <w:rPr>
                <w:rFonts w:hAnsi="Times New Roman" w:cs="Times New Roman"/>
                <w:b/>
              </w:rPr>
              <w:t>Asignatura: Procedimiento presupuestario y gobernanza económica</w:t>
            </w:r>
            <w:r w:rsidR="00A20EBD">
              <w:rPr>
                <w:rFonts w:hAnsi="Times New Roman" w:cs="Times New Roman"/>
                <w:b/>
              </w:rPr>
              <w:t>/Parliamentary budget process and economic governance</w:t>
            </w:r>
          </w:p>
        </w:tc>
      </w:tr>
    </w:tbl>
    <w:p w14:paraId="4113D528"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Módulo 2. Especialización (segundo cuatrimestre).</w:t>
      </w:r>
    </w:p>
    <w:p w14:paraId="30E54237"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Materia: Derecho Parlamentario.</w:t>
      </w:r>
    </w:p>
    <w:p w14:paraId="6629F3EC"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Tipo de asignatura: Optativa.</w:t>
      </w:r>
    </w:p>
    <w:p w14:paraId="727F8A8F" w14:textId="77777777" w:rsidR="00E21E4D" w:rsidRP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Créditos: 6 ECTS</w:t>
      </w:r>
    </w:p>
    <w:p w14:paraId="21F38A62" w14:textId="16B338B3" w:rsidR="00E21E4D" w:rsidRDefault="00E21E4D" w:rsidP="00E21E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Century Gothic" w:eastAsia="Times New Roman" w:hAnsi="Century Gothic" w:cs="Times New Roman"/>
          <w:sz w:val="19"/>
          <w:szCs w:val="19"/>
          <w:bdr w:val="none" w:sz="0" w:space="0" w:color="auto"/>
          <w:lang w:val="es-ES" w:eastAsia="es-ES"/>
        </w:rPr>
      </w:pPr>
      <w:r w:rsidRPr="00E21E4D">
        <w:rPr>
          <w:rFonts w:ascii="Century Gothic" w:eastAsia="Times New Roman" w:hAnsi="Century Gothic" w:cs="Times New Roman"/>
          <w:sz w:val="19"/>
          <w:szCs w:val="19"/>
          <w:bdr w:val="none" w:sz="0" w:space="0" w:color="auto"/>
          <w:lang w:val="es-ES" w:eastAsia="es-ES"/>
        </w:rPr>
        <w:t>Profesores:</w:t>
      </w:r>
    </w:p>
    <w:p w14:paraId="7492F368" w14:textId="647672A1" w:rsidR="00E21E4D" w:rsidRDefault="00E21E4D" w:rsidP="00E21E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Prof. Dr. José Manuel Almudí Cid (coordinador)</w:t>
      </w:r>
    </w:p>
    <w:p w14:paraId="1C898A43" w14:textId="20129255" w:rsidR="00E21E4D" w:rsidRPr="00E21E4D" w:rsidRDefault="00A20EBD" w:rsidP="00E21E4D">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ind w:left="720"/>
        <w:jc w:val="both"/>
        <w:rPr>
          <w:rFonts w:ascii="Century Gothic" w:eastAsia="Times New Roman" w:hAnsi="Century Gothic" w:cs="Times New Roman"/>
          <w:sz w:val="19"/>
          <w:szCs w:val="19"/>
          <w:bdr w:val="none" w:sz="0" w:space="0" w:color="auto"/>
          <w:lang w:val="es-ES" w:eastAsia="es-ES"/>
        </w:rPr>
      </w:pPr>
      <w:r>
        <w:rPr>
          <w:rFonts w:ascii="Century Gothic" w:eastAsia="Times New Roman" w:hAnsi="Century Gothic" w:cs="Times New Roman"/>
          <w:sz w:val="19"/>
          <w:szCs w:val="19"/>
          <w:bdr w:val="none" w:sz="0" w:space="0" w:color="auto"/>
          <w:lang w:val="es-ES" w:eastAsia="es-ES"/>
        </w:rPr>
        <w:t xml:space="preserve">Profª. Dra. </w:t>
      </w:r>
      <w:bookmarkStart w:id="0" w:name="_GoBack"/>
      <w:bookmarkEnd w:id="0"/>
      <w:r w:rsidR="00E21E4D">
        <w:rPr>
          <w:rFonts w:ascii="Century Gothic" w:eastAsia="Times New Roman" w:hAnsi="Century Gothic" w:cs="Times New Roman"/>
          <w:sz w:val="19"/>
          <w:szCs w:val="19"/>
          <w:bdr w:val="none" w:sz="0" w:space="0" w:color="auto"/>
          <w:lang w:val="es-ES" w:eastAsia="es-ES"/>
        </w:rPr>
        <w:t>Sylvia Martí Sánchez</w:t>
      </w:r>
    </w:p>
    <w:p w14:paraId="4ADBC1A0" w14:textId="77777777" w:rsidR="003561C2" w:rsidRPr="00E642FF" w:rsidRDefault="003561C2" w:rsidP="00E642FF">
      <w:pPr>
        <w:tabs>
          <w:tab w:val="left" w:pos="1576"/>
        </w:tabs>
        <w:jc w:val="both"/>
        <w:rPr>
          <w:rFonts w:eastAsia="Calibri" w:hAnsi="Times New Roman" w:cs="Times New Roman"/>
          <w:lang w:val="es-ES_tradnl"/>
        </w:rPr>
      </w:pPr>
    </w:p>
    <w:p w14:paraId="294AE3CD" w14:textId="2EA03CC2" w:rsidR="0045014F" w:rsidRPr="00E21E4D" w:rsidRDefault="00E21E4D" w:rsidP="00E642FF">
      <w:pPr>
        <w:jc w:val="both"/>
        <w:rPr>
          <w:rFonts w:hAnsi="Times New Roman" w:cs="Times New Roman"/>
          <w:b/>
          <w:lang w:val="es-ES"/>
        </w:rPr>
      </w:pPr>
      <w:r w:rsidRPr="00E21E4D">
        <w:rPr>
          <w:rFonts w:hAnsi="Times New Roman" w:cs="Times New Roman"/>
          <w:b/>
          <w:lang w:val="es-ES"/>
        </w:rPr>
        <w:t>Presentación</w:t>
      </w:r>
    </w:p>
    <w:p w14:paraId="54479DF1" w14:textId="75168744" w:rsidR="00E21E4D" w:rsidRPr="00E21E4D" w:rsidRDefault="00E21E4D" w:rsidP="00E642FF">
      <w:pPr>
        <w:jc w:val="both"/>
        <w:rPr>
          <w:rFonts w:hAnsi="Times New Roman" w:cs="Times New Roman"/>
          <w:lang w:val="es-ES"/>
        </w:rPr>
      </w:pPr>
    </w:p>
    <w:p w14:paraId="7C503502" w14:textId="21809122" w:rsidR="00E21E4D" w:rsidRDefault="00E21E4D" w:rsidP="00E642FF">
      <w:pPr>
        <w:jc w:val="both"/>
        <w:rPr>
          <w:rFonts w:hAnsi="Times New Roman" w:cs="Times New Roman"/>
          <w:lang w:val="es-ES"/>
        </w:rPr>
      </w:pPr>
      <w:r w:rsidRPr="00E21E4D">
        <w:rPr>
          <w:rFonts w:hAnsi="Times New Roman" w:cs="Times New Roman"/>
          <w:lang w:val="es-ES"/>
        </w:rPr>
        <w:t xml:space="preserve">La asignatura se centra en el procedimiento presupuestario y la gobernanza económica en la Unión Europea. El Tratado de Lisboa introdujo un procedimiento presupuestario simplificado y más transparente. </w:t>
      </w:r>
      <w:r>
        <w:rPr>
          <w:rFonts w:hAnsi="Times New Roman" w:cs="Times New Roman"/>
          <w:lang w:val="es-ES"/>
        </w:rPr>
        <w:t>El Parlamento Europeo y el Consejo conforman la autoridad presupuestaria en la UE. En primer lugar, el marco financiero multianual será ahora adoptado de forma unánime por el Consejo tras obtener la aprobación del Parlamento Europeo. En segundo lugar, el procedimiento presupuestario anual ha sido reestructurado y simplificado. El art. 314 del TFUE establece las etapas y plazos que deben respetarse durante el procedimiento presupuestario:</w:t>
      </w:r>
      <w:r w:rsidRPr="00E21E4D">
        <w:rPr>
          <w:rFonts w:hAnsi="Times New Roman" w:cs="Times New Roman"/>
          <w:lang w:val="es-ES"/>
        </w:rPr>
        <w:t xml:space="preserve"> </w:t>
      </w:r>
      <w:r>
        <w:rPr>
          <w:rFonts w:hAnsi="Times New Roman" w:cs="Times New Roman"/>
          <w:lang w:val="es-ES"/>
        </w:rPr>
        <w:t xml:space="preserve">1. Establecimiento del proyecto de presupuesto por la Comisión. 2. Establecimiento de la posición del Consejo sobre el proyecto de presupuesto. 3. Lectura en el Parlamento. 4. Reunión del Comité de Conciliación y adopción del Presupuesto. </w:t>
      </w:r>
    </w:p>
    <w:p w14:paraId="5C4C967F" w14:textId="00E480F4" w:rsidR="00E21E4D" w:rsidRDefault="00E21E4D" w:rsidP="00E642FF">
      <w:pPr>
        <w:jc w:val="both"/>
        <w:rPr>
          <w:rFonts w:hAnsi="Times New Roman" w:cs="Times New Roman"/>
          <w:lang w:val="es-ES"/>
        </w:rPr>
      </w:pPr>
    </w:p>
    <w:p w14:paraId="5933C46A" w14:textId="25FD4A0E" w:rsidR="00E21E4D" w:rsidRDefault="00E21E4D" w:rsidP="00E642FF">
      <w:pPr>
        <w:jc w:val="both"/>
        <w:rPr>
          <w:rFonts w:hAnsi="Times New Roman" w:cs="Times New Roman"/>
          <w:lang w:val="es-ES"/>
        </w:rPr>
      </w:pPr>
      <w:r>
        <w:rPr>
          <w:rFonts w:hAnsi="Times New Roman" w:cs="Times New Roman"/>
          <w:lang w:val="es-ES"/>
        </w:rPr>
        <w:t>Por otro lado, mientras la política económica se lleva a cabo a nivel nacional, en la década pasada la Unión Europea ha ganado más competencias a la hora de regular el Mercado Europeo Común y asegurar la coordinación política entre los Estados miembros. La</w:t>
      </w:r>
      <w:r w:rsidR="00E27D15">
        <w:rPr>
          <w:rFonts w:hAnsi="Times New Roman" w:cs="Times New Roman"/>
          <w:lang w:val="es-ES"/>
        </w:rPr>
        <w:t>s normas de la</w:t>
      </w:r>
      <w:r>
        <w:rPr>
          <w:rFonts w:hAnsi="Times New Roman" w:cs="Times New Roman"/>
          <w:lang w:val="es-ES"/>
        </w:rPr>
        <w:t xml:space="preserve"> UE en materia de deuda y déficit públicos</w:t>
      </w:r>
      <w:r w:rsidR="00E27D15">
        <w:rPr>
          <w:rFonts w:hAnsi="Times New Roman" w:cs="Times New Roman"/>
          <w:lang w:val="es-ES"/>
        </w:rPr>
        <w:t xml:space="preserve"> están establecidas en los Tratados, así como en la legislación derivada. La colección de normas se denomina </w:t>
      </w:r>
      <w:r w:rsidR="00E27D15" w:rsidRPr="00E27D15">
        <w:rPr>
          <w:rFonts w:hAnsi="Times New Roman" w:cs="Times New Roman"/>
          <w:i/>
          <w:lang w:val="es-ES"/>
        </w:rPr>
        <w:t>Pacto de Estabilidad y Crecimiento</w:t>
      </w:r>
      <w:r w:rsidR="00E27D15">
        <w:rPr>
          <w:rFonts w:hAnsi="Times New Roman" w:cs="Times New Roman"/>
          <w:lang w:val="es-ES"/>
        </w:rPr>
        <w:t xml:space="preserve"> (PEC). El PEC originalmente se centraba en el control del cumplimiento por los Estados miembros con los objetivos acordados respecto de sus déficits presupuestario. Actualmente, un proceso similar se aplica para los niveles de deuda pública. Además, la atención ha pasado de la corrección a la prevención. Aunque se aplica a todos los Estados Miembros de la Unión, el PEC cuenta con mecanismos para el cumplimiento más estrictos para los Estados de la zona euro. Por lo tanto, el módulo introduce los últimos desarrollos en la gobernanza económica de la Unión como el “</w:t>
      </w:r>
      <w:proofErr w:type="spellStart"/>
      <w:r w:rsidR="00E27D15">
        <w:rPr>
          <w:rFonts w:hAnsi="Times New Roman" w:cs="Times New Roman"/>
          <w:lang w:val="es-ES"/>
        </w:rPr>
        <w:t>Six</w:t>
      </w:r>
      <w:proofErr w:type="spellEnd"/>
      <w:r w:rsidR="00E27D15">
        <w:rPr>
          <w:rFonts w:hAnsi="Times New Roman" w:cs="Times New Roman"/>
          <w:lang w:val="es-ES"/>
        </w:rPr>
        <w:t>-Pack”, el “</w:t>
      </w:r>
      <w:proofErr w:type="spellStart"/>
      <w:r w:rsidR="00E27D15">
        <w:rPr>
          <w:rFonts w:hAnsi="Times New Roman" w:cs="Times New Roman"/>
          <w:lang w:val="es-ES"/>
        </w:rPr>
        <w:t>Two</w:t>
      </w:r>
      <w:proofErr w:type="spellEnd"/>
      <w:r w:rsidR="00E27D15">
        <w:rPr>
          <w:rFonts w:hAnsi="Times New Roman" w:cs="Times New Roman"/>
          <w:lang w:val="es-ES"/>
        </w:rPr>
        <w:t xml:space="preserve">-Pack” o el Semestre Europeo. </w:t>
      </w:r>
    </w:p>
    <w:p w14:paraId="010ECF16" w14:textId="75D7CC5E" w:rsidR="00E27D15" w:rsidRDefault="00E27D15" w:rsidP="00E642FF">
      <w:pPr>
        <w:jc w:val="both"/>
        <w:rPr>
          <w:rFonts w:hAnsi="Times New Roman" w:cs="Times New Roman"/>
          <w:lang w:val="es-ES"/>
        </w:rPr>
      </w:pPr>
    </w:p>
    <w:p w14:paraId="72C83233" w14:textId="424AD6D7" w:rsidR="00E27D15" w:rsidRDefault="00E27D15" w:rsidP="00E642FF">
      <w:pPr>
        <w:jc w:val="both"/>
        <w:rPr>
          <w:rFonts w:hAnsi="Times New Roman" w:cs="Times New Roman"/>
          <w:lang w:val="es-ES"/>
        </w:rPr>
      </w:pPr>
      <w:r>
        <w:rPr>
          <w:rFonts w:hAnsi="Times New Roman" w:cs="Times New Roman"/>
          <w:lang w:val="es-ES"/>
        </w:rPr>
        <w:t>El curso también se centra en el actual proceso presupuestario del Parlamento Español tras la implementación del nuevo régimen de gobernanza económica europea. En septiembre de 2011, el art. 135 de la Constitución Española sobre deuda pública fue reformado, estableciendo en el texto el concepto de “estabilidad presupuestaria” a la vez que se introducía la prioridad absoluta del pago de la deuda y los intereses. El Congreso de los Diputados aprobó reformar la Constitución para exigir presupuestos equilibrados tanto a nivel nacional como regional. La Ley Orgánica 2/2012, de 27 de abril, sobre Estabilidad Presupuestaria y Sostenibilidad Financiera, es la ley que desarrolla las reformas introducidas por el art. 135 de la Constitución, que experimentó un rápido procedimiento de aprobación parlamentaria, respondiendo al acuerdo de reducir el déficit público y ajustarse al nuevo marco europeo que consagra la llamada “regla de oro” para unos presupuestos equilibrados. Estos desarrollos presentan problemas por lo que respecta a la legitimidad democrática de los presupuestos nacionales.  ¿Qué margen de maniobra queda para los Parlamentos nacionales? ¿Hasta qué extremo afecta a las competencias presupuestarias del Parlamento español?</w:t>
      </w:r>
    </w:p>
    <w:p w14:paraId="5AFE6542" w14:textId="76787117" w:rsidR="00E27D15" w:rsidRDefault="00E27D15" w:rsidP="00E642FF">
      <w:pPr>
        <w:jc w:val="both"/>
        <w:rPr>
          <w:rFonts w:hAnsi="Times New Roman" w:cs="Times New Roman"/>
          <w:lang w:val="es-ES"/>
        </w:rPr>
      </w:pPr>
    </w:p>
    <w:p w14:paraId="05976B55" w14:textId="25374554" w:rsidR="00E27D15" w:rsidRPr="00E21E4D" w:rsidRDefault="00E27D15" w:rsidP="00E642FF">
      <w:pPr>
        <w:jc w:val="both"/>
        <w:rPr>
          <w:rFonts w:hAnsi="Times New Roman" w:cs="Times New Roman"/>
          <w:lang w:val="es-ES"/>
        </w:rPr>
      </w:pPr>
      <w:r>
        <w:rPr>
          <w:rFonts w:hAnsi="Times New Roman" w:cs="Times New Roman"/>
          <w:lang w:val="es-ES"/>
        </w:rPr>
        <w:lastRenderedPageBreak/>
        <w:t xml:space="preserve">Finalmente, el curso aborda los límites existentes en los poderes financieros de los Parlamentos. En particular, aquellos que afectan a las leyes que incrementan el gasto presupuestario propuestas por el Gobierno. </w:t>
      </w:r>
    </w:p>
    <w:p w14:paraId="046F2D91" w14:textId="77777777" w:rsidR="003561C2" w:rsidRPr="00E642FF" w:rsidRDefault="002C1867" w:rsidP="00E642FF">
      <w:pPr>
        <w:jc w:val="both"/>
        <w:rPr>
          <w:rFonts w:hAnsi="Times New Roman" w:cs="Times New Roman"/>
          <w:lang w:val="fr-FR"/>
        </w:rPr>
      </w:pPr>
      <w:r w:rsidRPr="00E642FF">
        <w:rPr>
          <w:rFonts w:hAnsi="Times New Roman" w:cs="Times New Roman"/>
          <w:lang w:val="fr-FR"/>
        </w:rPr>
        <w:t xml:space="preserve">  </w:t>
      </w:r>
    </w:p>
    <w:p w14:paraId="4416F7D2" w14:textId="7DAA0C2A" w:rsidR="0083141E" w:rsidRPr="00F035FA" w:rsidRDefault="00F035FA" w:rsidP="00F035FA">
      <w:pPr>
        <w:jc w:val="both"/>
        <w:rPr>
          <w:rFonts w:hAnsi="Times New Roman" w:cs="Times New Roman"/>
          <w:b/>
          <w:lang w:val="es-ES"/>
        </w:rPr>
      </w:pPr>
      <w:r w:rsidRPr="00F035FA">
        <w:rPr>
          <w:rFonts w:hAnsi="Times New Roman" w:cs="Times New Roman"/>
          <w:b/>
          <w:lang w:val="es-ES"/>
        </w:rPr>
        <w:t>Objetivos</w:t>
      </w:r>
    </w:p>
    <w:p w14:paraId="6C28E31A" w14:textId="4EC3E96F"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Analizar el procedimiento presupuestario y la gobernanza económica en la UE</w:t>
      </w:r>
    </w:p>
    <w:p w14:paraId="60A2B05D" w14:textId="4C2A5E52"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Examinar los últimos desarrollos en la gobernanza económica de la Unión</w:t>
      </w:r>
    </w:p>
    <w:p w14:paraId="10715A57" w14:textId="68767EAA"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Abordar el actual proceso presupuestario del Parlamento Español tras la implementación del nuevo régimen de gobernanza económica europea.</w:t>
      </w:r>
    </w:p>
    <w:p w14:paraId="24E6309A" w14:textId="4BE730D5" w:rsidR="00F035FA" w:rsidRPr="00B723F9" w:rsidRDefault="00F035FA" w:rsidP="00F035FA">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hAnsi="Times New Roman" w:cs="Times New Roman"/>
          <w:lang w:val="es-ES"/>
        </w:rPr>
      </w:pPr>
      <w:r w:rsidRPr="00B723F9">
        <w:rPr>
          <w:rFonts w:hAnsi="Times New Roman" w:cs="Times New Roman"/>
          <w:lang w:val="es-ES"/>
        </w:rPr>
        <w:t>Estudiar los límites existentes en los poderes financieros de los Parlamentos.</w:t>
      </w:r>
    </w:p>
    <w:p w14:paraId="3C479A08" w14:textId="77777777" w:rsidR="0084183D" w:rsidRDefault="0084183D" w:rsidP="00E642FF">
      <w:pPr>
        <w:widowControl w:val="0"/>
        <w:jc w:val="both"/>
        <w:rPr>
          <w:rFonts w:hAnsi="Times New Roman" w:cs="Times New Roman"/>
          <w:color w:val="393939"/>
          <w:lang w:val="en-GB" w:eastAsia="es-ES_tradnl"/>
        </w:rPr>
      </w:pPr>
    </w:p>
    <w:p w14:paraId="3317651D" w14:textId="586AD0F1" w:rsidR="003561C2" w:rsidRPr="00F035FA" w:rsidRDefault="00F035FA" w:rsidP="00E642FF">
      <w:pPr>
        <w:widowControl w:val="0"/>
        <w:jc w:val="both"/>
        <w:rPr>
          <w:rFonts w:hAnsi="Times New Roman" w:cs="Times New Roman"/>
          <w:b/>
          <w:lang w:val="es-ES"/>
        </w:rPr>
      </w:pPr>
      <w:r w:rsidRPr="00F035FA">
        <w:rPr>
          <w:rFonts w:hAnsi="Times New Roman" w:cs="Times New Roman"/>
          <w:b/>
          <w:lang w:val="es-ES"/>
        </w:rPr>
        <w:t>Contenidos</w:t>
      </w:r>
    </w:p>
    <w:p w14:paraId="238EDF55" w14:textId="77777777" w:rsidR="003561C2" w:rsidRPr="00F035FA" w:rsidRDefault="003561C2" w:rsidP="00E642FF">
      <w:pPr>
        <w:widowControl w:val="0"/>
        <w:jc w:val="both"/>
        <w:rPr>
          <w:rFonts w:hAnsi="Times New Roman" w:cs="Times New Roman"/>
          <w:lang w:val="es-ES"/>
        </w:rPr>
      </w:pPr>
    </w:p>
    <w:p w14:paraId="1DDD65E6" w14:textId="0026BFA0" w:rsidR="00F035FA" w:rsidRPr="00B723F9" w:rsidRDefault="00F035FA" w:rsidP="00F035FA">
      <w:pPr>
        <w:widowControl w:val="0"/>
        <w:jc w:val="both"/>
        <w:rPr>
          <w:rFonts w:hAnsi="Times New Roman" w:cs="Times New Roman"/>
          <w:b/>
          <w:bCs/>
          <w:lang w:val="es-ES"/>
        </w:rPr>
      </w:pPr>
      <w:r w:rsidRPr="00B723F9">
        <w:rPr>
          <w:rFonts w:hAnsi="Times New Roman" w:cs="Times New Roman"/>
          <w:b/>
          <w:bCs/>
          <w:lang w:val="es-ES"/>
        </w:rPr>
        <w:t xml:space="preserve">Bloque 1: Procedimiento presupuestario y Gobernanza Económica en la UE y en los Estados miembros. </w:t>
      </w:r>
    </w:p>
    <w:p w14:paraId="69920EF3" w14:textId="658BDE5E" w:rsidR="00F035FA" w:rsidRPr="00F035FA" w:rsidRDefault="00F035FA" w:rsidP="00F035FA">
      <w:pPr>
        <w:pStyle w:val="Prrafodelista"/>
        <w:widowControl w:val="0"/>
        <w:numPr>
          <w:ilvl w:val="0"/>
          <w:numId w:val="19"/>
        </w:numPr>
        <w:jc w:val="both"/>
        <w:rPr>
          <w:rFonts w:hAnsi="Times New Roman" w:cs="Times New Roman"/>
          <w:b/>
          <w:bCs/>
          <w:lang w:val="es-ES"/>
        </w:rPr>
      </w:pPr>
      <w:r>
        <w:rPr>
          <w:rFonts w:hAnsi="Times New Roman" w:cs="Times New Roman"/>
          <w:bCs/>
          <w:lang w:val="es-ES"/>
        </w:rPr>
        <w:t xml:space="preserve">Procedimiento presupuestario en la UE e implicaciones del Tratado de Lisboa. </w:t>
      </w:r>
    </w:p>
    <w:p w14:paraId="41DEAF8A" w14:textId="2D9DD052" w:rsidR="00F035FA" w:rsidRPr="00F035FA" w:rsidRDefault="00F035FA" w:rsidP="00F035FA">
      <w:pPr>
        <w:pStyle w:val="Prrafodelista"/>
        <w:widowControl w:val="0"/>
        <w:numPr>
          <w:ilvl w:val="0"/>
          <w:numId w:val="19"/>
        </w:numPr>
        <w:jc w:val="both"/>
        <w:rPr>
          <w:rFonts w:hAnsi="Times New Roman" w:cs="Times New Roman"/>
          <w:b/>
          <w:bCs/>
          <w:lang w:val="es-ES"/>
        </w:rPr>
      </w:pPr>
      <w:r>
        <w:rPr>
          <w:rFonts w:hAnsi="Times New Roman" w:cs="Times New Roman"/>
          <w:bCs/>
          <w:lang w:val="es-ES"/>
        </w:rPr>
        <w:t>Etapas en el procedimiento: papel del Consejo y del Parlamento Europeo.</w:t>
      </w:r>
    </w:p>
    <w:p w14:paraId="1A4DB37B" w14:textId="7910B275" w:rsidR="00F035FA" w:rsidRPr="00F035FA" w:rsidRDefault="00F035FA" w:rsidP="00F035FA">
      <w:pPr>
        <w:pStyle w:val="Prrafodelista"/>
        <w:widowControl w:val="0"/>
        <w:numPr>
          <w:ilvl w:val="0"/>
          <w:numId w:val="19"/>
        </w:numPr>
        <w:jc w:val="both"/>
        <w:rPr>
          <w:rFonts w:hAnsi="Times New Roman" w:cs="Times New Roman"/>
          <w:b/>
          <w:bCs/>
          <w:lang w:val="es-ES"/>
        </w:rPr>
      </w:pPr>
      <w:r>
        <w:rPr>
          <w:rFonts w:hAnsi="Times New Roman" w:cs="Times New Roman"/>
          <w:bCs/>
          <w:lang w:val="es-ES"/>
        </w:rPr>
        <w:t>Gobernanza Económica y normas presupuestarias en el contexto de la UE: organización actual y reformas en curso.</w:t>
      </w:r>
    </w:p>
    <w:p w14:paraId="109B2B37" w14:textId="00961C2E" w:rsidR="00F035FA" w:rsidRPr="00F035FA" w:rsidRDefault="00F035FA" w:rsidP="00F035FA">
      <w:pPr>
        <w:pStyle w:val="Prrafodelista"/>
        <w:widowControl w:val="0"/>
        <w:numPr>
          <w:ilvl w:val="0"/>
          <w:numId w:val="19"/>
        </w:numPr>
        <w:jc w:val="both"/>
        <w:rPr>
          <w:rFonts w:hAnsi="Times New Roman" w:cs="Times New Roman"/>
          <w:b/>
          <w:bCs/>
          <w:lang w:val="es-ES"/>
        </w:rPr>
      </w:pPr>
      <w:r>
        <w:rPr>
          <w:rFonts w:hAnsi="Times New Roman" w:cs="Times New Roman"/>
          <w:bCs/>
          <w:lang w:val="es-ES"/>
        </w:rPr>
        <w:t xml:space="preserve">El Semestre Europeo y los procedimientos presupuestarios de los Estados miembros. </w:t>
      </w:r>
    </w:p>
    <w:p w14:paraId="19C3B3B5" w14:textId="109F13B5" w:rsidR="00F035FA" w:rsidRPr="00F035FA" w:rsidRDefault="00F035FA" w:rsidP="00F035FA">
      <w:pPr>
        <w:pStyle w:val="Prrafodelista"/>
        <w:widowControl w:val="0"/>
        <w:numPr>
          <w:ilvl w:val="0"/>
          <w:numId w:val="19"/>
        </w:numPr>
        <w:jc w:val="both"/>
        <w:rPr>
          <w:rFonts w:hAnsi="Times New Roman" w:cs="Times New Roman"/>
          <w:b/>
          <w:bCs/>
          <w:lang w:val="es-ES"/>
        </w:rPr>
      </w:pPr>
      <w:r>
        <w:rPr>
          <w:rFonts w:hAnsi="Times New Roman" w:cs="Times New Roman"/>
          <w:bCs/>
          <w:lang w:val="es-ES"/>
        </w:rPr>
        <w:t>El “</w:t>
      </w:r>
      <w:proofErr w:type="spellStart"/>
      <w:r>
        <w:rPr>
          <w:rFonts w:hAnsi="Times New Roman" w:cs="Times New Roman"/>
          <w:bCs/>
          <w:lang w:val="es-ES"/>
        </w:rPr>
        <w:t>six</w:t>
      </w:r>
      <w:proofErr w:type="spellEnd"/>
      <w:r>
        <w:rPr>
          <w:rFonts w:hAnsi="Times New Roman" w:cs="Times New Roman"/>
          <w:bCs/>
          <w:lang w:val="es-ES"/>
        </w:rPr>
        <w:t>-pack” y el “</w:t>
      </w:r>
      <w:proofErr w:type="spellStart"/>
      <w:r>
        <w:rPr>
          <w:rFonts w:hAnsi="Times New Roman" w:cs="Times New Roman"/>
          <w:bCs/>
          <w:lang w:val="es-ES"/>
        </w:rPr>
        <w:t>two</w:t>
      </w:r>
      <w:proofErr w:type="spellEnd"/>
      <w:r>
        <w:rPr>
          <w:rFonts w:hAnsi="Times New Roman" w:cs="Times New Roman"/>
          <w:bCs/>
          <w:lang w:val="es-ES"/>
        </w:rPr>
        <w:t>-pack”.</w:t>
      </w:r>
    </w:p>
    <w:p w14:paraId="41C3CDF0" w14:textId="4F94B1C0" w:rsidR="00F035FA" w:rsidRPr="00F035FA" w:rsidRDefault="00F035FA" w:rsidP="00F035FA">
      <w:pPr>
        <w:pStyle w:val="Prrafodelista"/>
        <w:widowControl w:val="0"/>
        <w:numPr>
          <w:ilvl w:val="0"/>
          <w:numId w:val="19"/>
        </w:numPr>
        <w:jc w:val="both"/>
        <w:rPr>
          <w:rFonts w:hAnsi="Times New Roman" w:cs="Times New Roman"/>
          <w:b/>
          <w:bCs/>
          <w:lang w:val="es-ES"/>
        </w:rPr>
      </w:pPr>
      <w:r>
        <w:rPr>
          <w:rFonts w:hAnsi="Times New Roman" w:cs="Times New Roman"/>
          <w:bCs/>
          <w:lang w:val="es-ES"/>
        </w:rPr>
        <w:t xml:space="preserve">Constituciones y crisis financiera. </w:t>
      </w:r>
    </w:p>
    <w:p w14:paraId="16740159" w14:textId="219026CB" w:rsidR="00F035FA" w:rsidRPr="00F035FA" w:rsidRDefault="00F035FA" w:rsidP="00F035FA">
      <w:pPr>
        <w:pStyle w:val="Prrafodelista"/>
        <w:widowControl w:val="0"/>
        <w:numPr>
          <w:ilvl w:val="0"/>
          <w:numId w:val="19"/>
        </w:numPr>
        <w:jc w:val="both"/>
        <w:rPr>
          <w:rFonts w:hAnsi="Times New Roman" w:cs="Times New Roman"/>
          <w:b/>
          <w:bCs/>
          <w:lang w:val="es-ES"/>
        </w:rPr>
      </w:pPr>
      <w:r>
        <w:rPr>
          <w:rFonts w:hAnsi="Times New Roman" w:cs="Times New Roman"/>
          <w:bCs/>
          <w:lang w:val="es-ES"/>
        </w:rPr>
        <w:t xml:space="preserve">Legitimidad democrática y presupuesto nacional. </w:t>
      </w:r>
    </w:p>
    <w:p w14:paraId="0EAEBDBD" w14:textId="77777777" w:rsidR="00F035FA" w:rsidRDefault="00F035FA" w:rsidP="00F035FA">
      <w:pPr>
        <w:widowControl w:val="0"/>
        <w:jc w:val="both"/>
        <w:rPr>
          <w:rFonts w:hAnsi="Times New Roman" w:cs="Times New Roman"/>
          <w:b/>
          <w:bCs/>
          <w:lang w:val="en-US"/>
        </w:rPr>
      </w:pPr>
    </w:p>
    <w:p w14:paraId="3FA6834C" w14:textId="77777777" w:rsidR="0084183D" w:rsidRDefault="0084183D" w:rsidP="00E642FF">
      <w:pPr>
        <w:jc w:val="both"/>
        <w:rPr>
          <w:rFonts w:hAnsi="Times New Roman" w:cs="Times New Roman"/>
          <w:color w:val="808080"/>
          <w:u w:color="808080"/>
          <w:lang w:val="en-US"/>
        </w:rPr>
      </w:pPr>
    </w:p>
    <w:p w14:paraId="48F795C5" w14:textId="5ABCADCB" w:rsidR="00F035FA" w:rsidRPr="00F035FA" w:rsidRDefault="00F035FA" w:rsidP="00F035FA">
      <w:pPr>
        <w:widowControl w:val="0"/>
        <w:jc w:val="both"/>
        <w:rPr>
          <w:rFonts w:hAnsi="Times New Roman" w:cs="Times New Roman"/>
          <w:b/>
          <w:bCs/>
          <w:color w:val="auto"/>
          <w:lang w:val="es-ES"/>
        </w:rPr>
      </w:pPr>
      <w:r w:rsidRPr="00F035FA">
        <w:rPr>
          <w:rFonts w:hAnsi="Times New Roman" w:cs="Times New Roman"/>
          <w:b/>
          <w:color w:val="auto"/>
          <w:lang w:val="es-ES" w:eastAsia="es-ES_tradnl"/>
        </w:rPr>
        <w:t xml:space="preserve">Bloque 2: Límites a los poderes financieros de los Parlamentos. </w:t>
      </w:r>
    </w:p>
    <w:p w14:paraId="7207CBFB" w14:textId="77777777" w:rsidR="0084183D" w:rsidRDefault="0084183D" w:rsidP="00E642FF">
      <w:pPr>
        <w:jc w:val="both"/>
        <w:rPr>
          <w:rFonts w:hAnsi="Times New Roman" w:cs="Times New Roman"/>
          <w:color w:val="808080"/>
          <w:u w:color="808080"/>
          <w:lang w:val="en-US"/>
        </w:rPr>
      </w:pPr>
    </w:p>
    <w:p w14:paraId="30294B87" w14:textId="77777777" w:rsidR="0084183D" w:rsidRDefault="0084183D" w:rsidP="00E642FF">
      <w:pPr>
        <w:jc w:val="both"/>
        <w:rPr>
          <w:rFonts w:hAnsi="Times New Roman" w:cs="Times New Roman"/>
          <w:color w:val="808080"/>
          <w:u w:color="808080"/>
          <w:lang w:val="en-US"/>
        </w:rPr>
      </w:pPr>
    </w:p>
    <w:p w14:paraId="312EE019" w14:textId="77777777" w:rsidR="00F035FA" w:rsidRPr="00B723F9" w:rsidRDefault="00F035FA" w:rsidP="00F035FA">
      <w:pPr>
        <w:jc w:val="both"/>
        <w:rPr>
          <w:rFonts w:hAnsi="Times New Roman" w:cs="Times New Roman"/>
          <w:b/>
          <w:color w:val="auto"/>
          <w:u w:color="808080"/>
          <w:lang w:val="es-ES"/>
        </w:rPr>
      </w:pPr>
      <w:r w:rsidRPr="00B723F9">
        <w:rPr>
          <w:rFonts w:hAnsi="Times New Roman" w:cs="Times New Roman"/>
          <w:b/>
          <w:color w:val="auto"/>
          <w:u w:color="808080"/>
          <w:lang w:val="es-ES"/>
        </w:rPr>
        <w:t>Actividades formativas</w:t>
      </w:r>
    </w:p>
    <w:p w14:paraId="3CA54D8F" w14:textId="71D1328A"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2C9D348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1) Actividades presenciales.</w:t>
      </w:r>
    </w:p>
    <w:p w14:paraId="25F3EC44" w14:textId="77777777" w:rsidR="00F035FA" w:rsidRPr="00B723F9" w:rsidRDefault="00F035FA" w:rsidP="00F035FA">
      <w:pPr>
        <w:jc w:val="both"/>
        <w:rPr>
          <w:rFonts w:hAnsi="Times New Roman" w:cs="Times New Roman"/>
          <w:color w:val="auto"/>
          <w:u w:color="808080"/>
          <w:lang w:val="es-ES"/>
        </w:rPr>
      </w:pPr>
    </w:p>
    <w:p w14:paraId="19BBB769" w14:textId="331AE9A1"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Las actividades presenciales consisten en un pequeño número de clases magistrales y clases prácticas, que se concentrarán en los meses de </w:t>
      </w:r>
      <w:r w:rsidR="00B723F9">
        <w:rPr>
          <w:rFonts w:hAnsi="Times New Roman" w:cs="Times New Roman"/>
          <w:color w:val="auto"/>
          <w:u w:color="808080"/>
          <w:lang w:val="es-ES"/>
        </w:rPr>
        <w:t>enero</w:t>
      </w:r>
      <w:r w:rsidRPr="00B723F9">
        <w:rPr>
          <w:rFonts w:hAnsi="Times New Roman" w:cs="Times New Roman"/>
          <w:color w:val="auto"/>
          <w:u w:color="808080"/>
          <w:lang w:val="es-ES"/>
        </w:rPr>
        <w:t xml:space="preserve"> a </w:t>
      </w:r>
      <w:r w:rsidR="00B723F9">
        <w:rPr>
          <w:rFonts w:hAnsi="Times New Roman" w:cs="Times New Roman"/>
          <w:color w:val="auto"/>
          <w:u w:color="808080"/>
          <w:lang w:val="es-ES"/>
        </w:rPr>
        <w:t>marzo</w:t>
      </w:r>
      <w:r w:rsidRPr="00B723F9">
        <w:rPr>
          <w:rFonts w:hAnsi="Times New Roman" w:cs="Times New Roman"/>
          <w:color w:val="auto"/>
          <w:u w:color="808080"/>
          <w:lang w:val="es-ES"/>
        </w:rPr>
        <w:t xml:space="preserve">. Por este motivo las clases presenciales se complementarán con un programa de lecturas, que contribuirá a que el alumno tenga una visión general de la asignatura.  </w:t>
      </w:r>
    </w:p>
    <w:p w14:paraId="5177EE4B" w14:textId="77777777" w:rsidR="00F035FA" w:rsidRPr="00B723F9" w:rsidRDefault="00F035FA" w:rsidP="00F035FA">
      <w:pPr>
        <w:jc w:val="both"/>
        <w:rPr>
          <w:rFonts w:hAnsi="Times New Roman" w:cs="Times New Roman"/>
          <w:color w:val="auto"/>
          <w:u w:color="808080"/>
          <w:lang w:val="es-ES"/>
        </w:rPr>
      </w:pPr>
    </w:p>
    <w:p w14:paraId="00FD811A" w14:textId="106D28BE"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magistrales, y prácticas, se presentarán en el aula los conceptos y problemas fundamentales relacionados con el programa.</w:t>
      </w:r>
    </w:p>
    <w:p w14:paraId="184E6B5C" w14:textId="77777777" w:rsidR="00F035FA" w:rsidRPr="00B723F9" w:rsidRDefault="00F035FA" w:rsidP="00F035FA">
      <w:pPr>
        <w:jc w:val="both"/>
        <w:rPr>
          <w:rFonts w:hAnsi="Times New Roman" w:cs="Times New Roman"/>
          <w:color w:val="auto"/>
          <w:u w:color="808080"/>
          <w:lang w:val="es-ES"/>
        </w:rPr>
      </w:pPr>
    </w:p>
    <w:p w14:paraId="32C0D54E"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En las clases se abordarán también problemas prácticos. Se analizará una selección de temas concretos que son objeto de debate. Se estudiarán sentencias, y se utilizarán los métodos de discusión de casos, y resolución de problemas.</w:t>
      </w:r>
    </w:p>
    <w:p w14:paraId="2AC3E269" w14:textId="77777777" w:rsidR="00F035FA" w:rsidRPr="00B723F9" w:rsidRDefault="00F035FA" w:rsidP="00F035FA">
      <w:pPr>
        <w:jc w:val="both"/>
        <w:rPr>
          <w:rFonts w:hAnsi="Times New Roman" w:cs="Times New Roman"/>
          <w:color w:val="auto"/>
          <w:u w:color="808080"/>
          <w:lang w:val="es-ES"/>
        </w:rPr>
      </w:pPr>
    </w:p>
    <w:p w14:paraId="40352776" w14:textId="51E97640"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Las actividades presenciales se completarán con un programa de conferencias, seminarios, jornadas, visitas a instituciones, organizado por el Instituto de Derecho Parlamentario.</w:t>
      </w:r>
    </w:p>
    <w:p w14:paraId="5237A34C" w14:textId="77777777" w:rsidR="00F035FA" w:rsidRPr="00B723F9" w:rsidRDefault="00F035FA" w:rsidP="00F035FA">
      <w:pPr>
        <w:jc w:val="both"/>
        <w:rPr>
          <w:rFonts w:hAnsi="Times New Roman" w:cs="Times New Roman"/>
          <w:color w:val="auto"/>
          <w:u w:color="808080"/>
          <w:lang w:val="es-ES"/>
        </w:rPr>
      </w:pPr>
    </w:p>
    <w:p w14:paraId="3B8074C0"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 </w:t>
      </w:r>
    </w:p>
    <w:p w14:paraId="3D8F89BB" w14:textId="77777777" w:rsidR="00F035FA" w:rsidRPr="00B723F9"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2) Actividades no presenciales.</w:t>
      </w:r>
    </w:p>
    <w:p w14:paraId="46A39AA8" w14:textId="77777777" w:rsidR="00F035FA" w:rsidRPr="00B723F9" w:rsidRDefault="00F035FA" w:rsidP="00F035FA">
      <w:pPr>
        <w:jc w:val="both"/>
        <w:rPr>
          <w:rFonts w:hAnsi="Times New Roman" w:cs="Times New Roman"/>
          <w:color w:val="auto"/>
          <w:u w:color="808080"/>
          <w:lang w:val="es-ES"/>
        </w:rPr>
      </w:pPr>
    </w:p>
    <w:p w14:paraId="3B4350E3" w14:textId="4794C51F" w:rsidR="0084183D" w:rsidRDefault="00F035FA" w:rsidP="00F035FA">
      <w:pPr>
        <w:jc w:val="both"/>
        <w:rPr>
          <w:rFonts w:hAnsi="Times New Roman" w:cs="Times New Roman"/>
          <w:color w:val="auto"/>
          <w:u w:color="808080"/>
          <w:lang w:val="es-ES"/>
        </w:rPr>
      </w:pPr>
      <w:r w:rsidRPr="00B723F9">
        <w:rPr>
          <w:rFonts w:hAnsi="Times New Roman" w:cs="Times New Roman"/>
          <w:color w:val="auto"/>
          <w:u w:color="808080"/>
          <w:lang w:val="es-ES"/>
        </w:rPr>
        <w:t xml:space="preserve">Los alumnos se comprometen a preparar las clases presenciales a través del programa de lecturas obligatorias para las clases magistrales, y de una selección de </w:t>
      </w:r>
      <w:r w:rsidR="00B723F9">
        <w:rPr>
          <w:rFonts w:hAnsi="Times New Roman" w:cs="Times New Roman"/>
          <w:color w:val="auto"/>
          <w:u w:color="808080"/>
          <w:lang w:val="es-ES"/>
        </w:rPr>
        <w:t>lecturas</w:t>
      </w:r>
      <w:r w:rsidRPr="00B723F9">
        <w:rPr>
          <w:rFonts w:hAnsi="Times New Roman" w:cs="Times New Roman"/>
          <w:color w:val="auto"/>
          <w:u w:color="808080"/>
          <w:lang w:val="es-ES"/>
        </w:rPr>
        <w:t xml:space="preserve"> para las clases prácticas.</w:t>
      </w:r>
    </w:p>
    <w:p w14:paraId="315B017E" w14:textId="66785B40" w:rsidR="00B723F9" w:rsidRDefault="00B723F9" w:rsidP="00F035FA">
      <w:pPr>
        <w:jc w:val="both"/>
        <w:rPr>
          <w:rFonts w:hAnsi="Times New Roman" w:cs="Times New Roman"/>
          <w:color w:val="auto"/>
          <w:u w:color="808080"/>
          <w:lang w:val="es-ES"/>
        </w:rPr>
      </w:pPr>
    </w:p>
    <w:p w14:paraId="32518230" w14:textId="57292E4D" w:rsidR="00B723F9" w:rsidRPr="00B723F9" w:rsidRDefault="00B723F9" w:rsidP="00F035FA">
      <w:pPr>
        <w:jc w:val="both"/>
        <w:rPr>
          <w:rFonts w:hAnsi="Times New Roman" w:cs="Times New Roman"/>
          <w:b/>
          <w:color w:val="auto"/>
          <w:u w:color="808080"/>
          <w:lang w:val="es-ES"/>
        </w:rPr>
      </w:pPr>
      <w:r w:rsidRPr="00B723F9">
        <w:rPr>
          <w:rFonts w:hAnsi="Times New Roman" w:cs="Times New Roman"/>
          <w:b/>
          <w:color w:val="auto"/>
          <w:u w:color="808080"/>
          <w:lang w:val="es-ES"/>
        </w:rPr>
        <w:t>Evaluación</w:t>
      </w:r>
    </w:p>
    <w:p w14:paraId="2082DBF3" w14:textId="77777777" w:rsidR="0084183D" w:rsidRPr="00B723F9" w:rsidRDefault="0084183D" w:rsidP="00E642FF">
      <w:pPr>
        <w:jc w:val="both"/>
        <w:rPr>
          <w:rFonts w:hAnsi="Times New Roman" w:cs="Times New Roman"/>
          <w:color w:val="808080"/>
          <w:u w:color="808080"/>
          <w:lang w:val="es-ES"/>
        </w:rPr>
      </w:pPr>
    </w:p>
    <w:p w14:paraId="277BB2F1"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La asistencia a las clases teóricas, prácticas y seminarios es, en principio, un presupuesto para la evaluación positiva.</w:t>
      </w:r>
    </w:p>
    <w:p w14:paraId="4F8C9ED7" w14:textId="77777777" w:rsidR="00B723F9" w:rsidRPr="00B723F9" w:rsidRDefault="00B723F9" w:rsidP="00B723F9">
      <w:pPr>
        <w:widowControl w:val="0"/>
        <w:jc w:val="both"/>
        <w:rPr>
          <w:rFonts w:hAnsi="Times New Roman" w:cs="Times New Roman"/>
          <w:bCs/>
          <w:lang w:val="es-ES"/>
        </w:rPr>
      </w:pPr>
    </w:p>
    <w:p w14:paraId="60B68F65"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Se valorará la participación activa, y solvente, en las clases teóricas, y prácticas, que acredite simultáneamente el interés y el trabajo del alumno.</w:t>
      </w:r>
    </w:p>
    <w:p w14:paraId="56A8081B" w14:textId="77777777" w:rsidR="00B723F9" w:rsidRPr="00B723F9" w:rsidRDefault="00B723F9" w:rsidP="00B723F9">
      <w:pPr>
        <w:widowControl w:val="0"/>
        <w:jc w:val="both"/>
        <w:rPr>
          <w:rFonts w:hAnsi="Times New Roman" w:cs="Times New Roman"/>
          <w:bCs/>
          <w:lang w:val="es-ES"/>
        </w:rPr>
      </w:pPr>
    </w:p>
    <w:p w14:paraId="074BDBAA" w14:textId="3AA48168"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Dicha participación ayuda</w:t>
      </w:r>
      <w:r>
        <w:rPr>
          <w:rFonts w:hAnsi="Times New Roman" w:cs="Times New Roman"/>
          <w:bCs/>
          <w:lang w:val="es-ES"/>
        </w:rPr>
        <w:t xml:space="preserve">rá a ponderar la nota final de </w:t>
      </w:r>
      <w:r w:rsidRPr="00B723F9">
        <w:rPr>
          <w:rFonts w:hAnsi="Times New Roman" w:cs="Times New Roman"/>
          <w:bCs/>
          <w:lang w:val="es-ES"/>
        </w:rPr>
        <w:t>l</w:t>
      </w:r>
      <w:r>
        <w:rPr>
          <w:rFonts w:hAnsi="Times New Roman" w:cs="Times New Roman"/>
          <w:bCs/>
          <w:lang w:val="es-ES"/>
        </w:rPr>
        <w:t>a</w:t>
      </w:r>
      <w:r w:rsidRPr="00B723F9">
        <w:rPr>
          <w:rFonts w:hAnsi="Times New Roman" w:cs="Times New Roman"/>
          <w:bCs/>
          <w:lang w:val="es-ES"/>
        </w:rPr>
        <w:t xml:space="preserve"> asignatura.</w:t>
      </w:r>
    </w:p>
    <w:p w14:paraId="0436B2CC" w14:textId="77777777" w:rsidR="00B723F9" w:rsidRPr="00B723F9" w:rsidRDefault="00B723F9" w:rsidP="00B723F9">
      <w:pPr>
        <w:widowControl w:val="0"/>
        <w:jc w:val="both"/>
        <w:rPr>
          <w:rFonts w:hAnsi="Times New Roman" w:cs="Times New Roman"/>
          <w:bCs/>
          <w:lang w:val="es-ES"/>
        </w:rPr>
      </w:pPr>
    </w:p>
    <w:p w14:paraId="4175EBC4" w14:textId="77777777" w:rsidR="00B723F9" w:rsidRPr="00B723F9" w:rsidRDefault="00B723F9" w:rsidP="00B723F9">
      <w:pPr>
        <w:widowControl w:val="0"/>
        <w:jc w:val="both"/>
        <w:rPr>
          <w:rFonts w:hAnsi="Times New Roman" w:cs="Times New Roman"/>
          <w:bCs/>
          <w:lang w:val="es-ES"/>
        </w:rPr>
      </w:pPr>
      <w:r w:rsidRPr="00B723F9">
        <w:rPr>
          <w:rFonts w:hAnsi="Times New Roman" w:cs="Times New Roman"/>
          <w:bCs/>
          <w:lang w:val="es-ES"/>
        </w:rPr>
        <w:t xml:space="preserve">La parte más importante de la calificación final se derivará de la elaboración de un “trabajo de asignatura”, que consistirá en una reflexión crítica, sobre algunos de los temas que se han abordado en ella, con una extensión de entre veinte y treinta folios, a espacio y medio, en letra times new </w:t>
      </w:r>
      <w:proofErr w:type="spellStart"/>
      <w:r w:rsidRPr="00B723F9">
        <w:rPr>
          <w:rFonts w:hAnsi="Times New Roman" w:cs="Times New Roman"/>
          <w:bCs/>
          <w:lang w:val="es-ES"/>
        </w:rPr>
        <w:t>roman</w:t>
      </w:r>
      <w:proofErr w:type="spellEnd"/>
      <w:r w:rsidRPr="00B723F9">
        <w:rPr>
          <w:rFonts w:hAnsi="Times New Roman" w:cs="Times New Roman"/>
          <w:bCs/>
          <w:lang w:val="es-ES"/>
        </w:rPr>
        <w:t xml:space="preserve"> 12.</w:t>
      </w:r>
    </w:p>
    <w:p w14:paraId="63E285C2" w14:textId="77777777" w:rsidR="00B723F9" w:rsidRPr="00B723F9" w:rsidRDefault="00B723F9" w:rsidP="00B723F9">
      <w:pPr>
        <w:widowControl w:val="0"/>
        <w:jc w:val="both"/>
        <w:rPr>
          <w:rFonts w:hAnsi="Times New Roman" w:cs="Times New Roman"/>
          <w:bCs/>
          <w:lang w:val="es-ES"/>
        </w:rPr>
      </w:pPr>
    </w:p>
    <w:p w14:paraId="7DC2D4A7" w14:textId="456AEA52" w:rsidR="003561C2" w:rsidRPr="00B723F9" w:rsidRDefault="00B723F9" w:rsidP="00B723F9">
      <w:pPr>
        <w:widowControl w:val="0"/>
        <w:jc w:val="both"/>
        <w:rPr>
          <w:rFonts w:hAnsi="Times New Roman" w:cs="Times New Roman"/>
          <w:bCs/>
          <w:lang w:val="es-ES"/>
        </w:rPr>
      </w:pPr>
      <w:r w:rsidRPr="00B723F9">
        <w:rPr>
          <w:rFonts w:hAnsi="Times New Roman" w:cs="Times New Roman"/>
          <w:bCs/>
          <w:lang w:val="es-ES"/>
        </w:rPr>
        <w:t xml:space="preserve">Antes de elegir el tema a tratar en el “trabajo de asignatura”, los alumnos deberán entrevistarse con el </w:t>
      </w:r>
      <w:r>
        <w:rPr>
          <w:rFonts w:hAnsi="Times New Roman" w:cs="Times New Roman"/>
          <w:bCs/>
          <w:lang w:val="es-ES"/>
        </w:rPr>
        <w:t>coordinador</w:t>
      </w:r>
      <w:r w:rsidRPr="00B723F9">
        <w:rPr>
          <w:rFonts w:hAnsi="Times New Roman" w:cs="Times New Roman"/>
          <w:bCs/>
          <w:lang w:val="es-ES"/>
        </w:rPr>
        <w:t>, para ser orientados respecto a los posibles contenidos, la bibliografía pertinente, etc.</w:t>
      </w:r>
    </w:p>
    <w:p w14:paraId="191E1BF3" w14:textId="77777777" w:rsidR="00F035FA" w:rsidRDefault="00F035FA" w:rsidP="00F035FA">
      <w:pPr>
        <w:jc w:val="both"/>
        <w:rPr>
          <w:rFonts w:hAnsi="Times New Roman" w:cs="Times New Roman"/>
          <w:color w:val="808080"/>
          <w:u w:color="808080"/>
          <w:lang w:val="en-US"/>
        </w:rPr>
      </w:pPr>
    </w:p>
    <w:p w14:paraId="67B6D130" w14:textId="79062EBE" w:rsidR="003561C2" w:rsidRPr="00F035FA" w:rsidRDefault="00F035FA" w:rsidP="00F035FA">
      <w:pPr>
        <w:spacing w:after="240"/>
        <w:jc w:val="both"/>
        <w:rPr>
          <w:rFonts w:hAnsi="Times New Roman" w:cs="Times New Roman"/>
          <w:b/>
          <w:lang w:val="es-ES_tradnl"/>
        </w:rPr>
      </w:pPr>
      <w:r w:rsidRPr="00F035FA">
        <w:rPr>
          <w:rFonts w:hAnsi="Times New Roman" w:cs="Times New Roman"/>
          <w:b/>
          <w:lang w:val="es-ES_tradnl"/>
        </w:rPr>
        <w:t>Bibliografía básica</w:t>
      </w:r>
    </w:p>
    <w:p w14:paraId="385F8B44" w14:textId="77777777" w:rsidR="00F035FA" w:rsidRPr="00136DE6" w:rsidRDefault="00F035FA" w:rsidP="00F035FA">
      <w:pPr>
        <w:widowControl w:val="0"/>
        <w:numPr>
          <w:ilvl w:val="0"/>
          <w:numId w:val="13"/>
        </w:numPr>
        <w:tabs>
          <w:tab w:val="num" w:pos="720"/>
        </w:tabs>
        <w:ind w:left="720" w:hanging="360"/>
        <w:jc w:val="both"/>
        <w:rPr>
          <w:rFonts w:hAnsi="Times New Roman" w:cs="Times New Roman"/>
          <w:lang w:val="en-US"/>
        </w:rPr>
      </w:pPr>
      <w:r w:rsidRPr="00F035FA">
        <w:rPr>
          <w:rFonts w:hAnsi="Times New Roman" w:cs="Times New Roman"/>
          <w:lang w:val="en-US"/>
        </w:rPr>
        <w:t xml:space="preserve">Scott Greer and Holly </w:t>
      </w:r>
      <w:proofErr w:type="spellStart"/>
      <w:r w:rsidRPr="00F035FA">
        <w:rPr>
          <w:rFonts w:hAnsi="Times New Roman" w:cs="Times New Roman"/>
          <w:lang w:val="en-US"/>
        </w:rPr>
        <w:t>Jarman</w:t>
      </w:r>
      <w:proofErr w:type="spellEnd"/>
      <w:r w:rsidRPr="00F035FA">
        <w:rPr>
          <w:rFonts w:hAnsi="Times New Roman" w:cs="Times New Roman"/>
          <w:lang w:val="en-US"/>
        </w:rPr>
        <w:t xml:space="preserve">, “Reinforcing Europe’s Failed Fiscal Regulatory State”, in A Global Perspective on the European Economic Crisis (Ed: Bruno </w:t>
      </w:r>
      <w:proofErr w:type="spellStart"/>
      <w:r w:rsidRPr="00F035FA">
        <w:rPr>
          <w:rFonts w:hAnsi="Times New Roman" w:cs="Times New Roman"/>
          <w:lang w:val="en-US"/>
        </w:rPr>
        <w:t>Dallago</w:t>
      </w:r>
      <w:proofErr w:type="spellEnd"/>
      <w:r w:rsidRPr="00F035FA">
        <w:rPr>
          <w:rFonts w:hAnsi="Times New Roman" w:cs="Times New Roman"/>
          <w:lang w:val="en-US"/>
        </w:rPr>
        <w:t xml:space="preserve"> et al.), London, Routledge, 2016.</w:t>
      </w:r>
    </w:p>
    <w:p w14:paraId="446E9202" w14:textId="77777777" w:rsidR="00F035FA" w:rsidRPr="00BE63B9" w:rsidRDefault="00F035FA" w:rsidP="00F035FA">
      <w:pPr>
        <w:widowControl w:val="0"/>
        <w:numPr>
          <w:ilvl w:val="0"/>
          <w:numId w:val="13"/>
        </w:numPr>
        <w:tabs>
          <w:tab w:val="num" w:pos="720"/>
        </w:tabs>
        <w:ind w:left="720" w:hanging="360"/>
        <w:jc w:val="both"/>
        <w:rPr>
          <w:rFonts w:hAnsi="Times New Roman" w:cs="Times New Roman"/>
          <w:lang w:val="en-US"/>
        </w:rPr>
      </w:pPr>
      <w:proofErr w:type="spellStart"/>
      <w:r w:rsidRPr="00F035FA">
        <w:rPr>
          <w:rFonts w:hAnsi="Times New Roman" w:cs="Times New Roman"/>
          <w:lang w:val="en-US"/>
        </w:rPr>
        <w:t>Corrado</w:t>
      </w:r>
      <w:proofErr w:type="spellEnd"/>
      <w:r w:rsidRPr="00F035FA">
        <w:rPr>
          <w:rFonts w:hAnsi="Times New Roman" w:cs="Times New Roman"/>
          <w:lang w:val="en-US"/>
        </w:rPr>
        <w:t xml:space="preserve"> Caruso and Marta </w:t>
      </w:r>
      <w:proofErr w:type="spellStart"/>
      <w:r w:rsidRPr="00F035FA">
        <w:rPr>
          <w:rFonts w:hAnsi="Times New Roman" w:cs="Times New Roman"/>
          <w:lang w:val="en-US"/>
        </w:rPr>
        <w:t>Morvillo</w:t>
      </w:r>
      <w:proofErr w:type="spellEnd"/>
      <w:r w:rsidRPr="00F035FA">
        <w:rPr>
          <w:rFonts w:hAnsi="Times New Roman" w:cs="Times New Roman"/>
          <w:lang w:val="en-US"/>
        </w:rPr>
        <w:t xml:space="preserve">, “Economic Governance and Budgetary Rules in the European Context: A Call for New European Constitutionalism”, Il </w:t>
      </w:r>
      <w:proofErr w:type="spellStart"/>
      <w:r w:rsidRPr="00F035FA">
        <w:rPr>
          <w:rFonts w:hAnsi="Times New Roman" w:cs="Times New Roman"/>
          <w:lang w:val="en-US"/>
        </w:rPr>
        <w:t>Diritto</w:t>
      </w:r>
      <w:proofErr w:type="spellEnd"/>
      <w:r w:rsidRPr="00F035FA">
        <w:rPr>
          <w:rFonts w:hAnsi="Times New Roman" w:cs="Times New Roman"/>
          <w:lang w:val="en-US"/>
        </w:rPr>
        <w:t xml:space="preserve"> </w:t>
      </w:r>
      <w:proofErr w:type="spellStart"/>
      <w:r w:rsidRPr="00F035FA">
        <w:rPr>
          <w:rFonts w:hAnsi="Times New Roman" w:cs="Times New Roman"/>
          <w:lang w:val="en-US"/>
        </w:rPr>
        <w:t>dell’Unione</w:t>
      </w:r>
      <w:proofErr w:type="spellEnd"/>
      <w:r w:rsidRPr="00F035FA">
        <w:rPr>
          <w:rFonts w:hAnsi="Times New Roman" w:cs="Times New Roman"/>
          <w:lang w:val="en-US"/>
        </w:rPr>
        <w:t xml:space="preserve"> </w:t>
      </w:r>
      <w:proofErr w:type="spellStart"/>
      <w:r w:rsidRPr="00F035FA">
        <w:rPr>
          <w:rFonts w:hAnsi="Times New Roman" w:cs="Times New Roman"/>
          <w:lang w:val="en-US"/>
        </w:rPr>
        <w:t>Europea</w:t>
      </w:r>
      <w:proofErr w:type="spellEnd"/>
      <w:r w:rsidRPr="00F035FA">
        <w:rPr>
          <w:rFonts w:hAnsi="Times New Roman" w:cs="Times New Roman"/>
          <w:lang w:val="en-US"/>
        </w:rPr>
        <w:t>, n. 4/2014.</w:t>
      </w:r>
    </w:p>
    <w:p w14:paraId="60E43C8D" w14:textId="0E7EEDB5" w:rsidR="00F035FA" w:rsidRDefault="00F035FA" w:rsidP="00F035FA">
      <w:pPr>
        <w:widowControl w:val="0"/>
        <w:numPr>
          <w:ilvl w:val="0"/>
          <w:numId w:val="13"/>
        </w:numPr>
        <w:tabs>
          <w:tab w:val="num" w:pos="720"/>
        </w:tabs>
        <w:ind w:left="720" w:hanging="360"/>
        <w:jc w:val="both"/>
        <w:rPr>
          <w:rFonts w:hAnsi="Times New Roman" w:cs="Times New Roman"/>
          <w:lang w:val="en-US"/>
        </w:rPr>
      </w:pPr>
      <w:r>
        <w:rPr>
          <w:rFonts w:hAnsi="Times New Roman" w:cs="Times New Roman"/>
          <w:lang w:val="en-US"/>
        </w:rPr>
        <w:t xml:space="preserve">Violeta Ruiz </w:t>
      </w:r>
      <w:proofErr w:type="spellStart"/>
      <w:r>
        <w:rPr>
          <w:rFonts w:hAnsi="Times New Roman" w:cs="Times New Roman"/>
          <w:lang w:val="en-US"/>
        </w:rPr>
        <w:t>Almendral</w:t>
      </w:r>
      <w:proofErr w:type="spellEnd"/>
      <w:r>
        <w:rPr>
          <w:rFonts w:hAnsi="Times New Roman" w:cs="Times New Roman"/>
          <w:lang w:val="en-US"/>
        </w:rPr>
        <w:t xml:space="preserve">, “The Spanish Legal Framework for Curbing the Public Debt and the Deficit”, </w:t>
      </w:r>
      <w:r>
        <w:rPr>
          <w:rFonts w:hAnsi="Times New Roman" w:cs="Times New Roman"/>
          <w:i/>
          <w:lang w:val="en-US"/>
        </w:rPr>
        <w:t xml:space="preserve">European Constitutional Review, </w:t>
      </w:r>
      <w:r>
        <w:rPr>
          <w:rFonts w:hAnsi="Times New Roman" w:cs="Times New Roman"/>
          <w:lang w:val="en-US"/>
        </w:rPr>
        <w:t>n. 9, 2013.</w:t>
      </w:r>
    </w:p>
    <w:p w14:paraId="3F4FA7CD" w14:textId="77777777" w:rsidR="00F035FA" w:rsidRPr="00486114" w:rsidRDefault="00F035FA" w:rsidP="00F035FA">
      <w:pPr>
        <w:widowControl w:val="0"/>
        <w:numPr>
          <w:ilvl w:val="0"/>
          <w:numId w:val="13"/>
        </w:numPr>
        <w:ind w:left="720" w:hanging="360"/>
        <w:jc w:val="both"/>
        <w:rPr>
          <w:rFonts w:hAnsi="Times New Roman" w:cs="Times New Roman"/>
          <w:lang w:val="en-US"/>
        </w:rPr>
      </w:pPr>
      <w:r w:rsidRPr="00486114">
        <w:rPr>
          <w:rFonts w:hAnsi="Times New Roman" w:cs="Times New Roman"/>
          <w:lang w:val="en-US"/>
        </w:rPr>
        <w:t>Kate Stitch, “Congress’ Power of the Purse”, Yale Law School Faculty Scholarship Series, 1998.</w:t>
      </w:r>
    </w:p>
    <w:p w14:paraId="6DE53CC9" w14:textId="77777777" w:rsidR="00F035FA" w:rsidRPr="00486114" w:rsidRDefault="00F035FA" w:rsidP="00F035FA">
      <w:pPr>
        <w:widowControl w:val="0"/>
        <w:numPr>
          <w:ilvl w:val="0"/>
          <w:numId w:val="13"/>
        </w:numPr>
        <w:ind w:left="720" w:hanging="360"/>
        <w:jc w:val="both"/>
        <w:rPr>
          <w:rFonts w:hAnsi="Times New Roman" w:cs="Times New Roman"/>
          <w:lang w:val="en-US"/>
        </w:rPr>
      </w:pPr>
      <w:r w:rsidRPr="00486114">
        <w:rPr>
          <w:rFonts w:hAnsi="Times New Roman" w:cs="Times New Roman"/>
          <w:lang w:val="en-US"/>
        </w:rPr>
        <w:t>Ada</w:t>
      </w:r>
      <w:r>
        <w:rPr>
          <w:rFonts w:hAnsi="Times New Roman" w:cs="Times New Roman"/>
          <w:lang w:val="en-US"/>
        </w:rPr>
        <w:t>m Fletcher and</w:t>
      </w:r>
      <w:r w:rsidRPr="00486114">
        <w:rPr>
          <w:rFonts w:hAnsi="Times New Roman" w:cs="Times New Roman"/>
          <w:lang w:val="en-US"/>
        </w:rPr>
        <w:t xml:space="preserve"> Francis Shen, “War and </w:t>
      </w:r>
      <w:proofErr w:type="spellStart"/>
      <w:r w:rsidRPr="00486114">
        <w:rPr>
          <w:rFonts w:hAnsi="Times New Roman" w:cs="Times New Roman"/>
          <w:lang w:val="en-US"/>
        </w:rPr>
        <w:t>Appropiations</w:t>
      </w:r>
      <w:proofErr w:type="spellEnd"/>
      <w:r w:rsidRPr="00486114">
        <w:rPr>
          <w:rFonts w:hAnsi="Times New Roman" w:cs="Times New Roman"/>
          <w:lang w:val="en-US"/>
        </w:rPr>
        <w:t>”</w:t>
      </w:r>
      <w:r w:rsidRPr="00486114">
        <w:rPr>
          <w:rFonts w:hAnsi="Times New Roman" w:cs="Times New Roman"/>
          <w:i/>
          <w:lang w:val="en-US"/>
        </w:rPr>
        <w:t xml:space="preserve">, </w:t>
      </w:r>
      <w:r w:rsidRPr="00486114">
        <w:rPr>
          <w:rFonts w:hAnsi="Times New Roman" w:cs="Times New Roman"/>
          <w:lang w:val="en-US"/>
        </w:rPr>
        <w:t>Harvard Law School – Federal Budget Policy Seminar, n. 9, 2005.</w:t>
      </w:r>
    </w:p>
    <w:p w14:paraId="0E59D8A5" w14:textId="77777777" w:rsidR="00F035FA" w:rsidRPr="00BA134B" w:rsidRDefault="00F035FA" w:rsidP="00F035FA">
      <w:pPr>
        <w:widowControl w:val="0"/>
        <w:numPr>
          <w:ilvl w:val="0"/>
          <w:numId w:val="13"/>
        </w:numPr>
        <w:ind w:left="720" w:hanging="360"/>
        <w:jc w:val="both"/>
        <w:rPr>
          <w:rFonts w:hAnsi="Times New Roman" w:cs="Times New Roman"/>
          <w:lang w:val="en-US"/>
        </w:rPr>
      </w:pPr>
      <w:r w:rsidRPr="00BA134B">
        <w:rPr>
          <w:rFonts w:hAnsi="Times New Roman" w:cs="Times New Roman"/>
          <w:lang w:val="en-US"/>
        </w:rPr>
        <w:t>Alfr</w:t>
      </w:r>
      <w:r>
        <w:rPr>
          <w:rFonts w:hAnsi="Times New Roman" w:cs="Times New Roman"/>
          <w:lang w:val="en-US"/>
        </w:rPr>
        <w:t xml:space="preserve">ed </w:t>
      </w:r>
      <w:proofErr w:type="spellStart"/>
      <w:r>
        <w:rPr>
          <w:rFonts w:hAnsi="Times New Roman" w:cs="Times New Roman"/>
          <w:lang w:val="en-US"/>
        </w:rPr>
        <w:t>Lindseth</w:t>
      </w:r>
      <w:proofErr w:type="spellEnd"/>
      <w:r>
        <w:rPr>
          <w:rFonts w:hAnsi="Times New Roman" w:cs="Times New Roman"/>
          <w:lang w:val="en-US"/>
        </w:rPr>
        <w:t xml:space="preserve">, Sutherland </w:t>
      </w:r>
      <w:proofErr w:type="spellStart"/>
      <w:r>
        <w:rPr>
          <w:rFonts w:hAnsi="Times New Roman" w:cs="Times New Roman"/>
          <w:lang w:val="en-US"/>
        </w:rPr>
        <w:t>Asbill</w:t>
      </w:r>
      <w:proofErr w:type="spellEnd"/>
      <w:r>
        <w:rPr>
          <w:rFonts w:hAnsi="Times New Roman" w:cs="Times New Roman"/>
          <w:lang w:val="en-US"/>
        </w:rPr>
        <w:t xml:space="preserve"> and</w:t>
      </w:r>
      <w:r w:rsidRPr="00BA134B">
        <w:rPr>
          <w:rFonts w:hAnsi="Times New Roman" w:cs="Times New Roman"/>
          <w:lang w:val="en-US"/>
        </w:rPr>
        <w:t xml:space="preserve"> Brennan LLP, “Educational Adequacy Lawsuits: The Rest of the Story”, </w:t>
      </w:r>
      <w:r w:rsidRPr="00BA134B">
        <w:rPr>
          <w:rFonts w:hAnsi="Times New Roman" w:cs="Times New Roman"/>
          <w:bCs/>
          <w:color w:val="auto"/>
          <w:lang w:val="es-ES" w:eastAsia="es-ES_tradnl"/>
        </w:rPr>
        <w:t xml:space="preserve">Kennedy </w:t>
      </w:r>
      <w:proofErr w:type="spellStart"/>
      <w:r w:rsidRPr="00BA134B">
        <w:rPr>
          <w:rFonts w:hAnsi="Times New Roman" w:cs="Times New Roman"/>
          <w:bCs/>
          <w:color w:val="auto"/>
          <w:lang w:val="es-ES" w:eastAsia="es-ES_tradnl"/>
        </w:rPr>
        <w:t>School</w:t>
      </w:r>
      <w:proofErr w:type="spellEnd"/>
      <w:r w:rsidRPr="00BA134B">
        <w:rPr>
          <w:rFonts w:hAnsi="Times New Roman" w:cs="Times New Roman"/>
          <w:bCs/>
          <w:color w:val="auto"/>
          <w:lang w:val="es-ES" w:eastAsia="es-ES_tradnl"/>
        </w:rPr>
        <w:t xml:space="preserve"> of </w:t>
      </w:r>
      <w:proofErr w:type="spellStart"/>
      <w:r w:rsidRPr="00BA134B">
        <w:rPr>
          <w:rFonts w:hAnsi="Times New Roman" w:cs="Times New Roman"/>
          <w:bCs/>
          <w:color w:val="auto"/>
          <w:lang w:val="es-ES" w:eastAsia="es-ES_tradnl"/>
        </w:rPr>
        <w:t>Government</w:t>
      </w:r>
      <w:proofErr w:type="spellEnd"/>
      <w:r w:rsidRPr="00BA134B">
        <w:rPr>
          <w:rFonts w:hAnsi="Times New Roman" w:cs="Times New Roman"/>
          <w:bCs/>
          <w:color w:val="auto"/>
          <w:lang w:val="es-ES" w:eastAsia="es-ES_tradnl"/>
        </w:rPr>
        <w:t xml:space="preserve">, Harvard </w:t>
      </w:r>
      <w:proofErr w:type="spellStart"/>
      <w:r w:rsidRPr="00BA134B">
        <w:rPr>
          <w:rFonts w:hAnsi="Times New Roman" w:cs="Times New Roman"/>
          <w:bCs/>
          <w:color w:val="auto"/>
          <w:lang w:val="es-ES" w:eastAsia="es-ES_tradnl"/>
        </w:rPr>
        <w:t>University</w:t>
      </w:r>
      <w:proofErr w:type="spellEnd"/>
      <w:r>
        <w:rPr>
          <w:rFonts w:hAnsi="Times New Roman" w:cs="Times New Roman"/>
          <w:color w:val="auto"/>
          <w:lang w:val="es-ES" w:eastAsia="es-ES_tradnl"/>
        </w:rPr>
        <w:t>,</w:t>
      </w:r>
      <w:r w:rsidRPr="00BA134B">
        <w:rPr>
          <w:rFonts w:hAnsi="Times New Roman" w:cs="Times New Roman"/>
          <w:color w:val="auto"/>
          <w:lang w:val="es-ES" w:eastAsia="es-ES_tradnl"/>
        </w:rPr>
        <w:t xml:space="preserve"> 04/2004</w:t>
      </w:r>
      <w:r w:rsidRPr="00BA134B">
        <w:rPr>
          <w:rFonts w:hAnsi="Times New Roman" w:cs="Times New Roman"/>
          <w:lang w:val="en-US"/>
        </w:rPr>
        <w:t>.</w:t>
      </w:r>
    </w:p>
    <w:p w14:paraId="3671E856" w14:textId="77777777" w:rsidR="00F035FA" w:rsidRPr="00136DE6" w:rsidRDefault="00F035FA" w:rsidP="00F035FA">
      <w:pPr>
        <w:widowControl w:val="0"/>
        <w:ind w:left="720"/>
        <w:jc w:val="both"/>
        <w:rPr>
          <w:rStyle w:val="Ninguno"/>
          <w:rFonts w:hAnsi="Times New Roman" w:cs="Times New Roman"/>
          <w:lang w:val="en-US"/>
        </w:rPr>
      </w:pPr>
    </w:p>
    <w:p w14:paraId="7D3C1899" w14:textId="77777777" w:rsidR="00F035FA" w:rsidRDefault="00F035FA" w:rsidP="00E642FF">
      <w:pPr>
        <w:jc w:val="both"/>
        <w:rPr>
          <w:rFonts w:hAnsi="Times New Roman" w:cs="Times New Roman"/>
          <w:lang w:val="es-ES_tradnl"/>
        </w:rPr>
      </w:pPr>
    </w:p>
    <w:p w14:paraId="6B8401B7" w14:textId="1D151CE4" w:rsidR="003561C2" w:rsidRPr="00F035FA" w:rsidRDefault="00F035FA" w:rsidP="00E642FF">
      <w:pPr>
        <w:jc w:val="both"/>
        <w:rPr>
          <w:rFonts w:hAnsi="Times New Roman" w:cs="Times New Roman"/>
          <w:b/>
          <w:bCs/>
          <w:lang w:val="es-ES"/>
        </w:rPr>
      </w:pPr>
      <w:r w:rsidRPr="00F035FA">
        <w:rPr>
          <w:rFonts w:hAnsi="Times New Roman" w:cs="Times New Roman"/>
          <w:b/>
          <w:bCs/>
          <w:lang w:val="es-ES"/>
        </w:rPr>
        <w:t>Bibliografía complementaria</w:t>
      </w:r>
      <w:r w:rsidR="0035312D" w:rsidRPr="00F035FA">
        <w:rPr>
          <w:rFonts w:hAnsi="Times New Roman" w:cs="Times New Roman"/>
          <w:b/>
          <w:bCs/>
          <w:lang w:val="es-ES"/>
        </w:rPr>
        <w:t>:</w:t>
      </w:r>
    </w:p>
    <w:p w14:paraId="4242BD2C" w14:textId="77777777" w:rsidR="003561C2" w:rsidRDefault="003561C2" w:rsidP="00E642FF">
      <w:pPr>
        <w:jc w:val="both"/>
        <w:rPr>
          <w:rFonts w:hAnsi="Times New Roman" w:cs="Times New Roman"/>
          <w:lang w:val="en-US"/>
        </w:rPr>
      </w:pPr>
    </w:p>
    <w:p w14:paraId="49262198" w14:textId="269183E9" w:rsidR="005818EC" w:rsidRPr="00F035FA" w:rsidRDefault="005818EC" w:rsidP="00F035FA">
      <w:pPr>
        <w:pStyle w:val="Prrafodelista"/>
        <w:numPr>
          <w:ilvl w:val="0"/>
          <w:numId w:val="20"/>
        </w:numPr>
        <w:jc w:val="both"/>
        <w:rPr>
          <w:rFonts w:hAnsi="Times New Roman" w:cs="Times New Roman"/>
          <w:lang w:val="en-US"/>
        </w:rPr>
      </w:pPr>
      <w:r w:rsidRPr="00F035FA">
        <w:rPr>
          <w:rFonts w:hAnsi="Times New Roman" w:cs="Times New Roman"/>
          <w:lang w:val="en-US"/>
        </w:rPr>
        <w:t xml:space="preserve">Alicia </w:t>
      </w:r>
      <w:proofErr w:type="spellStart"/>
      <w:r w:rsidRPr="00F035FA">
        <w:rPr>
          <w:rFonts w:hAnsi="Times New Roman" w:cs="Times New Roman"/>
          <w:lang w:val="en-US"/>
        </w:rPr>
        <w:t>Hinarejos</w:t>
      </w:r>
      <w:proofErr w:type="spellEnd"/>
      <w:r w:rsidRPr="00F035FA">
        <w:rPr>
          <w:rFonts w:hAnsi="Times New Roman" w:cs="Times New Roman"/>
          <w:lang w:val="en-US"/>
        </w:rPr>
        <w:t xml:space="preserve">, </w:t>
      </w:r>
      <w:r w:rsidRPr="00F035FA">
        <w:rPr>
          <w:rFonts w:hAnsi="Times New Roman" w:cs="Times New Roman"/>
          <w:i/>
          <w:lang w:val="en-US"/>
        </w:rPr>
        <w:t>The Euro Area Crisis in Constitutional Perspective</w:t>
      </w:r>
      <w:r w:rsidRPr="00F035FA">
        <w:rPr>
          <w:rFonts w:hAnsi="Times New Roman" w:cs="Times New Roman"/>
          <w:lang w:val="en-US"/>
        </w:rPr>
        <w:t>, Oxford University Press, 2015.</w:t>
      </w:r>
    </w:p>
    <w:p w14:paraId="35E21097" w14:textId="77777777" w:rsidR="003561C2" w:rsidRPr="00E642FF" w:rsidRDefault="003561C2" w:rsidP="00E642FF">
      <w:pPr>
        <w:jc w:val="both"/>
        <w:rPr>
          <w:rFonts w:hAnsi="Times New Roman" w:cs="Times New Roman"/>
          <w:lang w:val="en-US"/>
        </w:rPr>
      </w:pPr>
    </w:p>
    <w:p w14:paraId="3CA33AA9" w14:textId="5D191200" w:rsidR="003561C2" w:rsidRPr="00F035FA" w:rsidRDefault="00E35C48" w:rsidP="00F035FA">
      <w:pPr>
        <w:pStyle w:val="Prrafodelista"/>
        <w:numPr>
          <w:ilvl w:val="0"/>
          <w:numId w:val="20"/>
        </w:numPr>
        <w:jc w:val="both"/>
        <w:rPr>
          <w:rFonts w:eastAsia="Garamond" w:hAnsi="Times New Roman" w:cs="Times New Roman"/>
          <w:lang w:val="es-ES_tradnl"/>
        </w:rPr>
      </w:pPr>
      <w:r w:rsidRPr="00F035FA">
        <w:rPr>
          <w:rFonts w:hAnsi="Times New Roman" w:cs="Times New Roman"/>
          <w:lang w:val="en-US"/>
        </w:rPr>
        <w:t>Among</w:t>
      </w:r>
      <w:r w:rsidR="002C1867" w:rsidRPr="00F035FA">
        <w:rPr>
          <w:rFonts w:hAnsi="Times New Roman" w:cs="Times New Roman"/>
          <w:lang w:val="en-US"/>
        </w:rPr>
        <w:t xml:space="preserve"> the </w:t>
      </w:r>
      <w:r w:rsidR="002C1867" w:rsidRPr="00F035FA">
        <w:rPr>
          <w:rFonts w:hAnsi="Times New Roman" w:cs="Times New Roman"/>
          <w:b/>
          <w:bCs/>
          <w:lang w:val="en-US"/>
        </w:rPr>
        <w:t>Spanish literature</w:t>
      </w:r>
      <w:r w:rsidR="002C1867" w:rsidRPr="00F035FA">
        <w:rPr>
          <w:rFonts w:hAnsi="Times New Roman" w:cs="Times New Roman"/>
          <w:lang w:val="en-US"/>
        </w:rPr>
        <w:t>, it may be useful to start reading the book</w:t>
      </w:r>
      <w:r w:rsidR="005818EC" w:rsidRPr="00F035FA">
        <w:rPr>
          <w:rFonts w:hAnsi="Times New Roman" w:cs="Times New Roman"/>
          <w:lang w:val="en-US"/>
        </w:rPr>
        <w:t>:</w:t>
      </w:r>
      <w:r w:rsidR="0035312D" w:rsidRPr="00F035FA">
        <w:rPr>
          <w:rFonts w:hAnsi="Times New Roman" w:cs="Times New Roman"/>
          <w:lang w:val="en-US"/>
        </w:rPr>
        <w:t xml:space="preserve"> Miguel </w:t>
      </w:r>
      <w:proofErr w:type="spellStart"/>
      <w:r w:rsidR="0035312D" w:rsidRPr="00F035FA">
        <w:rPr>
          <w:rFonts w:hAnsi="Times New Roman" w:cs="Times New Roman"/>
          <w:lang w:val="en-US"/>
        </w:rPr>
        <w:t>Ángel</w:t>
      </w:r>
      <w:proofErr w:type="spellEnd"/>
      <w:r w:rsidR="0035312D" w:rsidRPr="00F035FA">
        <w:rPr>
          <w:rFonts w:hAnsi="Times New Roman" w:cs="Times New Roman"/>
          <w:lang w:val="en-US"/>
        </w:rPr>
        <w:t xml:space="preserve"> Martínez Lago y Javier García Roca, </w:t>
      </w:r>
      <w:proofErr w:type="spellStart"/>
      <w:r w:rsidR="0035312D" w:rsidRPr="00F035FA">
        <w:rPr>
          <w:rFonts w:hAnsi="Times New Roman" w:cs="Times New Roman"/>
          <w:lang w:val="en-US"/>
        </w:rPr>
        <w:t>Estabilidad</w:t>
      </w:r>
      <w:proofErr w:type="spellEnd"/>
      <w:r w:rsidR="0035312D" w:rsidRPr="00F035FA">
        <w:rPr>
          <w:rFonts w:hAnsi="Times New Roman" w:cs="Times New Roman"/>
          <w:lang w:val="en-US"/>
        </w:rPr>
        <w:t xml:space="preserve"> </w:t>
      </w:r>
      <w:proofErr w:type="spellStart"/>
      <w:r w:rsidR="0035312D" w:rsidRPr="00F035FA">
        <w:rPr>
          <w:rFonts w:hAnsi="Times New Roman" w:cs="Times New Roman"/>
          <w:lang w:val="en-US"/>
        </w:rPr>
        <w:t>presupuestaria</w:t>
      </w:r>
      <w:proofErr w:type="spellEnd"/>
      <w:r w:rsidR="0035312D" w:rsidRPr="00F035FA">
        <w:rPr>
          <w:rFonts w:hAnsi="Times New Roman" w:cs="Times New Roman"/>
          <w:lang w:val="en-US"/>
        </w:rPr>
        <w:t xml:space="preserve"> y </w:t>
      </w:r>
      <w:proofErr w:type="spellStart"/>
      <w:r w:rsidR="0035312D" w:rsidRPr="00F035FA">
        <w:rPr>
          <w:rFonts w:hAnsi="Times New Roman" w:cs="Times New Roman"/>
          <w:lang w:val="en-US"/>
        </w:rPr>
        <w:t>consagración</w:t>
      </w:r>
      <w:proofErr w:type="spellEnd"/>
      <w:r w:rsidR="0035312D" w:rsidRPr="00F035FA">
        <w:rPr>
          <w:rFonts w:hAnsi="Times New Roman" w:cs="Times New Roman"/>
          <w:lang w:val="en-US"/>
        </w:rPr>
        <w:t xml:space="preserve"> del </w:t>
      </w:r>
      <w:proofErr w:type="spellStart"/>
      <w:r w:rsidR="0035312D" w:rsidRPr="00F035FA">
        <w:rPr>
          <w:rFonts w:hAnsi="Times New Roman" w:cs="Times New Roman"/>
          <w:lang w:val="en-US"/>
        </w:rPr>
        <w:t>freno</w:t>
      </w:r>
      <w:proofErr w:type="spellEnd"/>
      <w:r w:rsidR="0035312D" w:rsidRPr="00F035FA">
        <w:rPr>
          <w:rFonts w:hAnsi="Times New Roman" w:cs="Times New Roman"/>
          <w:lang w:val="en-US"/>
        </w:rPr>
        <w:t xml:space="preserve"> </w:t>
      </w:r>
      <w:proofErr w:type="spellStart"/>
      <w:r w:rsidR="0035312D" w:rsidRPr="00F035FA">
        <w:rPr>
          <w:rFonts w:hAnsi="Times New Roman" w:cs="Times New Roman"/>
          <w:lang w:val="en-US"/>
        </w:rPr>
        <w:t>constitucional</w:t>
      </w:r>
      <w:proofErr w:type="spellEnd"/>
      <w:r w:rsidR="0035312D" w:rsidRPr="00F035FA">
        <w:rPr>
          <w:rFonts w:hAnsi="Times New Roman" w:cs="Times New Roman"/>
          <w:lang w:val="en-US"/>
        </w:rPr>
        <w:t xml:space="preserve"> al </w:t>
      </w:r>
      <w:proofErr w:type="spellStart"/>
      <w:r w:rsidR="0035312D" w:rsidRPr="00F035FA">
        <w:rPr>
          <w:rFonts w:hAnsi="Times New Roman" w:cs="Times New Roman"/>
          <w:lang w:val="en-US"/>
        </w:rPr>
        <w:t>endeudamiento</w:t>
      </w:r>
      <w:proofErr w:type="spellEnd"/>
      <w:r w:rsidR="0035312D" w:rsidRPr="00F035FA">
        <w:rPr>
          <w:rFonts w:hAnsi="Times New Roman" w:cs="Times New Roman"/>
          <w:lang w:val="en-US"/>
        </w:rPr>
        <w:t xml:space="preserve">, </w:t>
      </w:r>
      <w:proofErr w:type="spellStart"/>
      <w:r w:rsidR="0035312D" w:rsidRPr="00F035FA">
        <w:rPr>
          <w:rFonts w:hAnsi="Times New Roman" w:cs="Times New Roman"/>
          <w:lang w:val="en-US"/>
        </w:rPr>
        <w:t>Civitas</w:t>
      </w:r>
      <w:proofErr w:type="spellEnd"/>
      <w:r w:rsidR="0035312D" w:rsidRPr="00F035FA">
        <w:rPr>
          <w:rFonts w:hAnsi="Times New Roman" w:cs="Times New Roman"/>
          <w:lang w:val="en-US"/>
        </w:rPr>
        <w:t>/Thomson, Madrid, 2013.</w:t>
      </w:r>
    </w:p>
    <w:p w14:paraId="297DDF0E" w14:textId="128EA7A9" w:rsidR="003561C2" w:rsidRPr="00E642FF" w:rsidRDefault="002C1867" w:rsidP="00E642FF">
      <w:pPr>
        <w:jc w:val="both"/>
        <w:rPr>
          <w:rFonts w:hAnsi="Times New Roman" w:cs="Times New Roman"/>
        </w:rPr>
      </w:pPr>
      <w:r w:rsidRPr="00E642FF">
        <w:rPr>
          <w:rFonts w:hAnsi="Times New Roman" w:cs="Times New Roman"/>
          <w:lang w:val="en-US"/>
        </w:rPr>
        <w:br/>
      </w:r>
    </w:p>
    <w:sectPr w:rsidR="003561C2" w:rsidRPr="00E642FF">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2D8DA" w14:textId="77777777" w:rsidR="0033163F" w:rsidRDefault="0033163F">
      <w:r>
        <w:separator/>
      </w:r>
    </w:p>
  </w:endnote>
  <w:endnote w:type="continuationSeparator" w:id="0">
    <w:p w14:paraId="3A99054A" w14:textId="77777777" w:rsidR="0033163F" w:rsidRDefault="003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D600" w14:textId="23EA2010" w:rsidR="00136DE6" w:rsidRDefault="00136DE6">
    <w:pPr>
      <w:pStyle w:val="Cabeceraypi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fldChar w:fldCharType="begin"/>
    </w:r>
    <w:r>
      <w:instrText xml:space="preserve"> PAGE </w:instrText>
    </w:r>
    <w:r>
      <w:fldChar w:fldCharType="separate"/>
    </w:r>
    <w:r w:rsidR="00A20E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A64A" w14:textId="77777777" w:rsidR="0033163F" w:rsidRDefault="0033163F">
      <w:r>
        <w:separator/>
      </w:r>
    </w:p>
  </w:footnote>
  <w:footnote w:type="continuationSeparator" w:id="0">
    <w:p w14:paraId="6C48925F" w14:textId="77777777" w:rsidR="0033163F" w:rsidRDefault="0033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330"/>
    <w:multiLevelType w:val="multilevel"/>
    <w:tmpl w:val="62F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62310"/>
    <w:multiLevelType w:val="multilevel"/>
    <w:tmpl w:val="C48A6ED4"/>
    <w:styleLink w:val="Estiloimportado4"/>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2" w15:restartNumberingAfterBreak="0">
    <w:nsid w:val="141E6947"/>
    <w:multiLevelType w:val="multilevel"/>
    <w:tmpl w:val="26A6F4EA"/>
    <w:styleLink w:val="List1"/>
    <w:lvl w:ilvl="0">
      <w:start w:val="1"/>
      <w:numFmt w:val="bullet"/>
      <w:lvlText w:val="•"/>
      <w:lvlJc w:val="left"/>
      <w:rPr>
        <w:position w:val="0"/>
        <w:lang w:val="en-US"/>
      </w:rPr>
    </w:lvl>
    <w:lvl w:ilv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3" w15:restartNumberingAfterBreak="0">
    <w:nsid w:val="1A7E1180"/>
    <w:multiLevelType w:val="multilevel"/>
    <w:tmpl w:val="234C629A"/>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4" w15:restartNumberingAfterBreak="0">
    <w:nsid w:val="1C714668"/>
    <w:multiLevelType w:val="multilevel"/>
    <w:tmpl w:val="9780A25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5" w15:restartNumberingAfterBreak="0">
    <w:nsid w:val="1C9E0F63"/>
    <w:multiLevelType w:val="multilevel"/>
    <w:tmpl w:val="EA64C45A"/>
    <w:styleLink w:val="List0"/>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6" w15:restartNumberingAfterBreak="0">
    <w:nsid w:val="1EA14849"/>
    <w:multiLevelType w:val="multilevel"/>
    <w:tmpl w:val="ADFAF8BE"/>
    <w:lvl w:ilvl="0">
      <w:numFmt w:val="bullet"/>
      <w:lvlText w:val="⎯"/>
      <w:lvlJc w:val="left"/>
      <w:rPr>
        <w:position w:val="0"/>
        <w:lang w:val="es-ES_tradnl"/>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7" w15:restartNumberingAfterBreak="0">
    <w:nsid w:val="21D9492A"/>
    <w:multiLevelType w:val="multilevel"/>
    <w:tmpl w:val="160E8AC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26B411B1"/>
    <w:multiLevelType w:val="multilevel"/>
    <w:tmpl w:val="CE644A14"/>
    <w:styleLink w:val="Estiloimportado5"/>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9" w15:restartNumberingAfterBreak="0">
    <w:nsid w:val="2AEB2857"/>
    <w:multiLevelType w:val="multilevel"/>
    <w:tmpl w:val="B8725CDE"/>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0" w15:restartNumberingAfterBreak="0">
    <w:nsid w:val="2FBA2EBB"/>
    <w:multiLevelType w:val="multilevel"/>
    <w:tmpl w:val="DC1CC0B6"/>
    <w:lvl w:ilvl="0">
      <w:start w:val="1"/>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11" w15:restartNumberingAfterBreak="0">
    <w:nsid w:val="31A71369"/>
    <w:multiLevelType w:val="multilevel"/>
    <w:tmpl w:val="B0D46A66"/>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32BF7D57"/>
    <w:multiLevelType w:val="multilevel"/>
    <w:tmpl w:val="9434F8A2"/>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3" w15:restartNumberingAfterBreak="0">
    <w:nsid w:val="377D04A8"/>
    <w:multiLevelType w:val="hybridMultilevel"/>
    <w:tmpl w:val="312E4184"/>
    <w:lvl w:ilvl="0" w:tplc="1B9447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E4040B"/>
    <w:multiLevelType w:val="hybridMultilevel"/>
    <w:tmpl w:val="91D03D5C"/>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847E2C"/>
    <w:multiLevelType w:val="multilevel"/>
    <w:tmpl w:val="7240A2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425C100D"/>
    <w:multiLevelType w:val="multilevel"/>
    <w:tmpl w:val="C6B835D4"/>
    <w:lvl w:ilvl="0">
      <w:numFmt w:val="bullet"/>
      <w:lvlText w:val="⎯"/>
      <w:lvlJc w:val="left"/>
      <w:rPr>
        <w:position w:val="0"/>
        <w:rtl w:val="0"/>
        <w:lang w:val="fr-FR"/>
      </w:rPr>
    </w:lvl>
    <w:lvl w:ilvl="1">
      <w:start w:val="1"/>
      <w:numFmt w:val="bullet"/>
      <w:lvlText w:val="o"/>
      <w:lvlJc w:val="left"/>
      <w:rPr>
        <w:position w:val="0"/>
        <w:rtl w:val="0"/>
        <w:lang w:val="fr-FR"/>
      </w:rPr>
    </w:lvl>
    <w:lvl w:ilvl="2">
      <w:start w:val="1"/>
      <w:numFmt w:val="bullet"/>
      <w:lvlText w:val="▪"/>
      <w:lvlJc w:val="left"/>
      <w:rPr>
        <w:position w:val="0"/>
        <w:rtl w:val="0"/>
        <w:lang w:val="fr-FR"/>
      </w:rPr>
    </w:lvl>
    <w:lvl w:ilvl="3">
      <w:start w:val="1"/>
      <w:numFmt w:val="bullet"/>
      <w:lvlText w:val="•"/>
      <w:lvlJc w:val="left"/>
      <w:rPr>
        <w:position w:val="0"/>
        <w:rtl w:val="0"/>
        <w:lang w:val="fr-FR"/>
      </w:rPr>
    </w:lvl>
    <w:lvl w:ilvl="4">
      <w:start w:val="1"/>
      <w:numFmt w:val="bullet"/>
      <w:lvlText w:val="o"/>
      <w:lvlJc w:val="left"/>
      <w:rPr>
        <w:position w:val="0"/>
        <w:rtl w:val="0"/>
        <w:lang w:val="fr-FR"/>
      </w:rPr>
    </w:lvl>
    <w:lvl w:ilvl="5">
      <w:start w:val="1"/>
      <w:numFmt w:val="bullet"/>
      <w:lvlText w:val="▪"/>
      <w:lvlJc w:val="left"/>
      <w:rPr>
        <w:position w:val="0"/>
        <w:rtl w:val="0"/>
        <w:lang w:val="fr-FR"/>
      </w:rPr>
    </w:lvl>
    <w:lvl w:ilvl="6">
      <w:start w:val="1"/>
      <w:numFmt w:val="bullet"/>
      <w:lvlText w:val="•"/>
      <w:lvlJc w:val="left"/>
      <w:rPr>
        <w:position w:val="0"/>
        <w:rtl w:val="0"/>
        <w:lang w:val="fr-FR"/>
      </w:rPr>
    </w:lvl>
    <w:lvl w:ilvl="7">
      <w:start w:val="1"/>
      <w:numFmt w:val="bullet"/>
      <w:lvlText w:val="o"/>
      <w:lvlJc w:val="left"/>
      <w:rPr>
        <w:position w:val="0"/>
        <w:rtl w:val="0"/>
        <w:lang w:val="fr-FR"/>
      </w:rPr>
    </w:lvl>
    <w:lvl w:ilvl="8">
      <w:start w:val="1"/>
      <w:numFmt w:val="bullet"/>
      <w:lvlText w:val="▪"/>
      <w:lvlJc w:val="left"/>
      <w:rPr>
        <w:position w:val="0"/>
        <w:rtl w:val="0"/>
        <w:lang w:val="fr-FR"/>
      </w:rPr>
    </w:lvl>
  </w:abstractNum>
  <w:abstractNum w:abstractNumId="17" w15:restartNumberingAfterBreak="0">
    <w:nsid w:val="4E01414A"/>
    <w:multiLevelType w:val="multilevel"/>
    <w:tmpl w:val="DD62B60A"/>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8" w15:restartNumberingAfterBreak="0">
    <w:nsid w:val="66B738F5"/>
    <w:multiLevelType w:val="multilevel"/>
    <w:tmpl w:val="A3D46D08"/>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9" w15:restartNumberingAfterBreak="0">
    <w:nsid w:val="69290D62"/>
    <w:multiLevelType w:val="hybridMultilevel"/>
    <w:tmpl w:val="43A81A28"/>
    <w:lvl w:ilvl="0" w:tplc="BA943A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CC7442"/>
    <w:multiLevelType w:val="multilevel"/>
    <w:tmpl w:val="A6626AC4"/>
    <w:lvl w:ilvl="0">
      <w:start w:val="1"/>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num w:numId="1">
    <w:abstractNumId w:val="18"/>
  </w:num>
  <w:num w:numId="2">
    <w:abstractNumId w:val="7"/>
  </w:num>
  <w:num w:numId="3">
    <w:abstractNumId w:val="12"/>
  </w:num>
  <w:num w:numId="4">
    <w:abstractNumId w:val="20"/>
  </w:num>
  <w:num w:numId="5">
    <w:abstractNumId w:val="15"/>
  </w:num>
  <w:num w:numId="6">
    <w:abstractNumId w:val="17"/>
  </w:num>
  <w:num w:numId="7">
    <w:abstractNumId w:val="2"/>
  </w:num>
  <w:num w:numId="8">
    <w:abstractNumId w:val="5"/>
  </w:num>
  <w:num w:numId="9">
    <w:abstractNumId w:val="10"/>
  </w:num>
  <w:num w:numId="10">
    <w:abstractNumId w:val="16"/>
  </w:num>
  <w:num w:numId="11">
    <w:abstractNumId w:val="9"/>
  </w:num>
  <w:num w:numId="12">
    <w:abstractNumId w:val="6"/>
  </w:num>
  <w:num w:numId="13">
    <w:abstractNumId w:val="1"/>
  </w:num>
  <w:num w:numId="14">
    <w:abstractNumId w:val="3"/>
  </w:num>
  <w:num w:numId="15">
    <w:abstractNumId w:val="4"/>
  </w:num>
  <w:num w:numId="16">
    <w:abstractNumId w:val="11"/>
  </w:num>
  <w:num w:numId="17">
    <w:abstractNumId w:val="8"/>
  </w:num>
  <w:num w:numId="18">
    <w:abstractNumId w:val="0"/>
  </w:num>
  <w:num w:numId="19">
    <w:abstractNumId w:val="19"/>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C2"/>
    <w:rsid w:val="000A0945"/>
    <w:rsid w:val="00136DE6"/>
    <w:rsid w:val="00170518"/>
    <w:rsid w:val="001A4833"/>
    <w:rsid w:val="001B23EA"/>
    <w:rsid w:val="00204F7B"/>
    <w:rsid w:val="00234892"/>
    <w:rsid w:val="002B061F"/>
    <w:rsid w:val="002C1867"/>
    <w:rsid w:val="002D400A"/>
    <w:rsid w:val="002E2937"/>
    <w:rsid w:val="00301DC7"/>
    <w:rsid w:val="00322735"/>
    <w:rsid w:val="0033163F"/>
    <w:rsid w:val="0035312D"/>
    <w:rsid w:val="003561C2"/>
    <w:rsid w:val="003B7A95"/>
    <w:rsid w:val="003E2AC6"/>
    <w:rsid w:val="003F3A7D"/>
    <w:rsid w:val="00410FDE"/>
    <w:rsid w:val="0045014F"/>
    <w:rsid w:val="00474B61"/>
    <w:rsid w:val="00486114"/>
    <w:rsid w:val="005247E6"/>
    <w:rsid w:val="005818EC"/>
    <w:rsid w:val="00590698"/>
    <w:rsid w:val="0073375F"/>
    <w:rsid w:val="007B4068"/>
    <w:rsid w:val="00811F94"/>
    <w:rsid w:val="0083141E"/>
    <w:rsid w:val="0084183D"/>
    <w:rsid w:val="00841DDB"/>
    <w:rsid w:val="008D01A8"/>
    <w:rsid w:val="009113B0"/>
    <w:rsid w:val="00911FDA"/>
    <w:rsid w:val="00964533"/>
    <w:rsid w:val="00A20EBD"/>
    <w:rsid w:val="00AA0CD0"/>
    <w:rsid w:val="00B21444"/>
    <w:rsid w:val="00B37FC6"/>
    <w:rsid w:val="00B56726"/>
    <w:rsid w:val="00B723F9"/>
    <w:rsid w:val="00BA134B"/>
    <w:rsid w:val="00BC1B51"/>
    <w:rsid w:val="00BE63B9"/>
    <w:rsid w:val="00C03EF2"/>
    <w:rsid w:val="00C14938"/>
    <w:rsid w:val="00C65EC6"/>
    <w:rsid w:val="00D060E3"/>
    <w:rsid w:val="00D17255"/>
    <w:rsid w:val="00E057CD"/>
    <w:rsid w:val="00E21E4D"/>
    <w:rsid w:val="00E27D15"/>
    <w:rsid w:val="00E35C48"/>
    <w:rsid w:val="00E642FF"/>
    <w:rsid w:val="00EE2ACF"/>
    <w:rsid w:val="00F035FA"/>
    <w:rsid w:val="00F55F3D"/>
    <w:rsid w:val="00FE5E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433E"/>
  <w15:docId w15:val="{7D53D16A-EDB2-439B-8A93-ACD6647B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rFonts w:hAnsi="Arial Unicode MS" w:cs="Arial Unicode MS"/>
      <w:color w:val="000000"/>
      <w:sz w:val="24"/>
      <w:szCs w:val="24"/>
      <w:u w:color="000000"/>
      <w:lang w:val="it-I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character" w:customStyle="1" w:styleId="Ninguno">
    <w:name w:val="Ninguno"/>
  </w:style>
  <w:style w:type="character" w:customStyle="1" w:styleId="Hyperlink0">
    <w:name w:val="Hyperlink.0"/>
    <w:basedOn w:val="Ninguno"/>
    <w:rPr>
      <w:color w:val="0000FF"/>
      <w:u w:val="single" w:color="0000FF"/>
      <w:lang w:val="en-US"/>
    </w:rPr>
  </w:style>
  <w:style w:type="character" w:customStyle="1" w:styleId="Hyperlink1">
    <w:name w:val="Hyperlink.1"/>
    <w:basedOn w:val="Ninguno"/>
    <w:rPr>
      <w:color w:val="0000FF"/>
      <w:u w:val="single" w:color="0000FF"/>
      <w:lang w:val="en-US"/>
    </w:rPr>
  </w:style>
  <w:style w:type="numbering" w:customStyle="1" w:styleId="List0">
    <w:name w:val="List 0"/>
    <w:basedOn w:val="Estiloimportado1"/>
    <w:pPr>
      <w:numPr>
        <w:numId w:val="8"/>
      </w:numPr>
    </w:pPr>
  </w:style>
  <w:style w:type="numbering" w:customStyle="1" w:styleId="Estiloimportado1">
    <w:name w:val="Estilo importado 1"/>
  </w:style>
  <w:style w:type="numbering" w:customStyle="1" w:styleId="List1">
    <w:name w:val="List 1"/>
    <w:basedOn w:val="Estiloimportado2"/>
    <w:pPr>
      <w:numPr>
        <w:numId w:val="7"/>
      </w:numPr>
    </w:pPr>
  </w:style>
  <w:style w:type="numbering" w:customStyle="1" w:styleId="Estiloimportado2">
    <w:name w:val="Estilo importado 2"/>
  </w:style>
  <w:style w:type="numbering" w:customStyle="1" w:styleId="Estiloimportado4">
    <w:name w:val="Estilo importado 4"/>
    <w:pPr>
      <w:numPr>
        <w:numId w:val="13"/>
      </w:numPr>
    </w:pPr>
  </w:style>
  <w:style w:type="numbering" w:customStyle="1" w:styleId="Estiloimportado5">
    <w:name w:val="Estilo importado 5"/>
    <w:pPr>
      <w:numPr>
        <w:numId w:val="17"/>
      </w:numPr>
    </w:pPr>
  </w:style>
  <w:style w:type="paragraph" w:styleId="Prrafodelista">
    <w:name w:val="List Paragraph"/>
    <w:basedOn w:val="Normal"/>
    <w:uiPriority w:val="34"/>
    <w:qFormat/>
    <w:rsid w:val="00E35C48"/>
    <w:pPr>
      <w:ind w:left="720"/>
      <w:contextualSpacing/>
    </w:pPr>
  </w:style>
  <w:style w:type="paragraph" w:styleId="Textodeglobo">
    <w:name w:val="Balloon Text"/>
    <w:basedOn w:val="Normal"/>
    <w:link w:val="TextodegloboCar"/>
    <w:uiPriority w:val="99"/>
    <w:semiHidden/>
    <w:unhideWhenUsed/>
    <w:rsid w:val="004501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014F"/>
    <w:rPr>
      <w:rFonts w:ascii="Lucida Grande" w:hAnsi="Lucida Grande" w:cs="Lucida Grande"/>
      <w:color w:val="000000"/>
      <w:sz w:val="18"/>
      <w:szCs w:val="18"/>
      <w:u w:color="000000"/>
      <w:lang w:val="it-IT" w:eastAsia="en-US"/>
    </w:rPr>
  </w:style>
  <w:style w:type="paragraph" w:styleId="NormalWeb">
    <w:name w:val="Normal (Web)"/>
    <w:basedOn w:val="Normal"/>
    <w:uiPriority w:val="99"/>
    <w:semiHidden/>
    <w:unhideWhenUsed/>
    <w:rsid w:val="004861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lang w:val="es-ES" w:eastAsia="es-ES"/>
    </w:rPr>
  </w:style>
  <w:style w:type="paragraph" w:customStyle="1" w:styleId="Default">
    <w:name w:val="Default"/>
    <w:rsid w:val="00B567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57">
      <w:bodyDiv w:val="1"/>
      <w:marLeft w:val="0"/>
      <w:marRight w:val="0"/>
      <w:marTop w:val="0"/>
      <w:marBottom w:val="0"/>
      <w:divBdr>
        <w:top w:val="none" w:sz="0" w:space="0" w:color="auto"/>
        <w:left w:val="none" w:sz="0" w:space="0" w:color="auto"/>
        <w:bottom w:val="none" w:sz="0" w:space="0" w:color="auto"/>
        <w:right w:val="none" w:sz="0" w:space="0" w:color="auto"/>
      </w:divBdr>
      <w:divsChild>
        <w:div w:id="132985756">
          <w:marLeft w:val="0"/>
          <w:marRight w:val="0"/>
          <w:marTop w:val="0"/>
          <w:marBottom w:val="0"/>
          <w:divBdr>
            <w:top w:val="none" w:sz="0" w:space="0" w:color="auto"/>
            <w:left w:val="none" w:sz="0" w:space="0" w:color="auto"/>
            <w:bottom w:val="none" w:sz="0" w:space="0" w:color="auto"/>
            <w:right w:val="none" w:sz="0" w:space="0" w:color="auto"/>
          </w:divBdr>
          <w:divsChild>
            <w:div w:id="1235433676">
              <w:marLeft w:val="0"/>
              <w:marRight w:val="0"/>
              <w:marTop w:val="0"/>
              <w:marBottom w:val="0"/>
              <w:divBdr>
                <w:top w:val="none" w:sz="0" w:space="0" w:color="auto"/>
                <w:left w:val="none" w:sz="0" w:space="0" w:color="auto"/>
                <w:bottom w:val="none" w:sz="0" w:space="0" w:color="auto"/>
                <w:right w:val="none" w:sz="0" w:space="0" w:color="auto"/>
              </w:divBdr>
              <w:divsChild>
                <w:div w:id="1661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1910">
      <w:bodyDiv w:val="1"/>
      <w:marLeft w:val="0"/>
      <w:marRight w:val="0"/>
      <w:marTop w:val="0"/>
      <w:marBottom w:val="0"/>
      <w:divBdr>
        <w:top w:val="none" w:sz="0" w:space="0" w:color="auto"/>
        <w:left w:val="none" w:sz="0" w:space="0" w:color="auto"/>
        <w:bottom w:val="none" w:sz="0" w:space="0" w:color="auto"/>
        <w:right w:val="none" w:sz="0" w:space="0" w:color="auto"/>
      </w:divBdr>
      <w:divsChild>
        <w:div w:id="1648238731">
          <w:marLeft w:val="0"/>
          <w:marRight w:val="0"/>
          <w:marTop w:val="0"/>
          <w:marBottom w:val="0"/>
          <w:divBdr>
            <w:top w:val="none" w:sz="0" w:space="0" w:color="auto"/>
            <w:left w:val="none" w:sz="0" w:space="0" w:color="auto"/>
            <w:bottom w:val="none" w:sz="0" w:space="0" w:color="auto"/>
            <w:right w:val="none" w:sz="0" w:space="0" w:color="auto"/>
          </w:divBdr>
          <w:divsChild>
            <w:div w:id="1986936028">
              <w:marLeft w:val="0"/>
              <w:marRight w:val="0"/>
              <w:marTop w:val="0"/>
              <w:marBottom w:val="0"/>
              <w:divBdr>
                <w:top w:val="none" w:sz="0" w:space="0" w:color="auto"/>
                <w:left w:val="none" w:sz="0" w:space="0" w:color="auto"/>
                <w:bottom w:val="none" w:sz="0" w:space="0" w:color="auto"/>
                <w:right w:val="none" w:sz="0" w:space="0" w:color="auto"/>
              </w:divBdr>
              <w:divsChild>
                <w:div w:id="21365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221">
      <w:bodyDiv w:val="1"/>
      <w:marLeft w:val="0"/>
      <w:marRight w:val="0"/>
      <w:marTop w:val="0"/>
      <w:marBottom w:val="0"/>
      <w:divBdr>
        <w:top w:val="none" w:sz="0" w:space="0" w:color="auto"/>
        <w:left w:val="none" w:sz="0" w:space="0" w:color="auto"/>
        <w:bottom w:val="none" w:sz="0" w:space="0" w:color="auto"/>
        <w:right w:val="none" w:sz="0" w:space="0" w:color="auto"/>
      </w:divBdr>
    </w:div>
    <w:div w:id="390350022">
      <w:bodyDiv w:val="1"/>
      <w:marLeft w:val="0"/>
      <w:marRight w:val="0"/>
      <w:marTop w:val="0"/>
      <w:marBottom w:val="0"/>
      <w:divBdr>
        <w:top w:val="none" w:sz="0" w:space="0" w:color="auto"/>
        <w:left w:val="none" w:sz="0" w:space="0" w:color="auto"/>
        <w:bottom w:val="none" w:sz="0" w:space="0" w:color="auto"/>
        <w:right w:val="none" w:sz="0" w:space="0" w:color="auto"/>
      </w:divBdr>
      <w:divsChild>
        <w:div w:id="351494715">
          <w:marLeft w:val="0"/>
          <w:marRight w:val="0"/>
          <w:marTop w:val="0"/>
          <w:marBottom w:val="0"/>
          <w:divBdr>
            <w:top w:val="none" w:sz="0" w:space="0" w:color="auto"/>
            <w:left w:val="none" w:sz="0" w:space="0" w:color="auto"/>
            <w:bottom w:val="none" w:sz="0" w:space="0" w:color="auto"/>
            <w:right w:val="none" w:sz="0" w:space="0" w:color="auto"/>
          </w:divBdr>
          <w:divsChild>
            <w:div w:id="93985671">
              <w:marLeft w:val="0"/>
              <w:marRight w:val="0"/>
              <w:marTop w:val="0"/>
              <w:marBottom w:val="0"/>
              <w:divBdr>
                <w:top w:val="none" w:sz="0" w:space="0" w:color="auto"/>
                <w:left w:val="none" w:sz="0" w:space="0" w:color="auto"/>
                <w:bottom w:val="none" w:sz="0" w:space="0" w:color="auto"/>
                <w:right w:val="none" w:sz="0" w:space="0" w:color="auto"/>
              </w:divBdr>
              <w:divsChild>
                <w:div w:id="36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1613">
      <w:bodyDiv w:val="1"/>
      <w:marLeft w:val="0"/>
      <w:marRight w:val="0"/>
      <w:marTop w:val="0"/>
      <w:marBottom w:val="0"/>
      <w:divBdr>
        <w:top w:val="none" w:sz="0" w:space="0" w:color="auto"/>
        <w:left w:val="none" w:sz="0" w:space="0" w:color="auto"/>
        <w:bottom w:val="none" w:sz="0" w:space="0" w:color="auto"/>
        <w:right w:val="none" w:sz="0" w:space="0" w:color="auto"/>
      </w:divBdr>
      <w:divsChild>
        <w:div w:id="2012294625">
          <w:marLeft w:val="0"/>
          <w:marRight w:val="0"/>
          <w:marTop w:val="0"/>
          <w:marBottom w:val="0"/>
          <w:divBdr>
            <w:top w:val="none" w:sz="0" w:space="0" w:color="auto"/>
            <w:left w:val="none" w:sz="0" w:space="0" w:color="auto"/>
            <w:bottom w:val="none" w:sz="0" w:space="0" w:color="auto"/>
            <w:right w:val="none" w:sz="0" w:space="0" w:color="auto"/>
          </w:divBdr>
          <w:divsChild>
            <w:div w:id="1830362267">
              <w:marLeft w:val="0"/>
              <w:marRight w:val="0"/>
              <w:marTop w:val="0"/>
              <w:marBottom w:val="0"/>
              <w:divBdr>
                <w:top w:val="none" w:sz="0" w:space="0" w:color="auto"/>
                <w:left w:val="none" w:sz="0" w:space="0" w:color="auto"/>
                <w:bottom w:val="none" w:sz="0" w:space="0" w:color="auto"/>
                <w:right w:val="none" w:sz="0" w:space="0" w:color="auto"/>
              </w:divBdr>
              <w:divsChild>
                <w:div w:id="1820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2953">
      <w:bodyDiv w:val="1"/>
      <w:marLeft w:val="0"/>
      <w:marRight w:val="0"/>
      <w:marTop w:val="0"/>
      <w:marBottom w:val="0"/>
      <w:divBdr>
        <w:top w:val="none" w:sz="0" w:space="0" w:color="auto"/>
        <w:left w:val="none" w:sz="0" w:space="0" w:color="auto"/>
        <w:bottom w:val="none" w:sz="0" w:space="0" w:color="auto"/>
        <w:right w:val="none" w:sz="0" w:space="0" w:color="auto"/>
      </w:divBdr>
      <w:divsChild>
        <w:div w:id="2008827994">
          <w:marLeft w:val="0"/>
          <w:marRight w:val="0"/>
          <w:marTop w:val="0"/>
          <w:marBottom w:val="0"/>
          <w:divBdr>
            <w:top w:val="none" w:sz="0" w:space="0" w:color="auto"/>
            <w:left w:val="none" w:sz="0" w:space="0" w:color="auto"/>
            <w:bottom w:val="none" w:sz="0" w:space="0" w:color="auto"/>
            <w:right w:val="none" w:sz="0" w:space="0" w:color="auto"/>
          </w:divBdr>
          <w:divsChild>
            <w:div w:id="685641492">
              <w:marLeft w:val="0"/>
              <w:marRight w:val="0"/>
              <w:marTop w:val="0"/>
              <w:marBottom w:val="0"/>
              <w:divBdr>
                <w:top w:val="none" w:sz="0" w:space="0" w:color="auto"/>
                <w:left w:val="none" w:sz="0" w:space="0" w:color="auto"/>
                <w:bottom w:val="none" w:sz="0" w:space="0" w:color="auto"/>
                <w:right w:val="none" w:sz="0" w:space="0" w:color="auto"/>
              </w:divBdr>
              <w:divsChild>
                <w:div w:id="9465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19967">
      <w:bodyDiv w:val="1"/>
      <w:marLeft w:val="0"/>
      <w:marRight w:val="0"/>
      <w:marTop w:val="0"/>
      <w:marBottom w:val="0"/>
      <w:divBdr>
        <w:top w:val="none" w:sz="0" w:space="0" w:color="auto"/>
        <w:left w:val="none" w:sz="0" w:space="0" w:color="auto"/>
        <w:bottom w:val="none" w:sz="0" w:space="0" w:color="auto"/>
        <w:right w:val="none" w:sz="0" w:space="0" w:color="auto"/>
      </w:divBdr>
    </w:div>
    <w:div w:id="1553153642">
      <w:bodyDiv w:val="1"/>
      <w:marLeft w:val="0"/>
      <w:marRight w:val="0"/>
      <w:marTop w:val="0"/>
      <w:marBottom w:val="0"/>
      <w:divBdr>
        <w:top w:val="none" w:sz="0" w:space="0" w:color="auto"/>
        <w:left w:val="none" w:sz="0" w:space="0" w:color="auto"/>
        <w:bottom w:val="none" w:sz="0" w:space="0" w:color="auto"/>
        <w:right w:val="none" w:sz="0" w:space="0" w:color="auto"/>
      </w:divBdr>
    </w:div>
    <w:div w:id="2075929705">
      <w:bodyDiv w:val="1"/>
      <w:marLeft w:val="0"/>
      <w:marRight w:val="0"/>
      <w:marTop w:val="0"/>
      <w:marBottom w:val="0"/>
      <w:divBdr>
        <w:top w:val="none" w:sz="0" w:space="0" w:color="auto"/>
        <w:left w:val="none" w:sz="0" w:space="0" w:color="auto"/>
        <w:bottom w:val="none" w:sz="0" w:space="0" w:color="auto"/>
        <w:right w:val="none" w:sz="0" w:space="0" w:color="auto"/>
      </w:divBdr>
      <w:divsChild>
        <w:div w:id="1950580384">
          <w:marLeft w:val="0"/>
          <w:marRight w:val="0"/>
          <w:marTop w:val="0"/>
          <w:marBottom w:val="0"/>
          <w:divBdr>
            <w:top w:val="none" w:sz="0" w:space="0" w:color="auto"/>
            <w:left w:val="none" w:sz="0" w:space="0" w:color="auto"/>
            <w:bottom w:val="none" w:sz="0" w:space="0" w:color="auto"/>
            <w:right w:val="none" w:sz="0" w:space="0" w:color="auto"/>
          </w:divBdr>
          <w:divsChild>
            <w:div w:id="437987704">
              <w:marLeft w:val="0"/>
              <w:marRight w:val="0"/>
              <w:marTop w:val="0"/>
              <w:marBottom w:val="0"/>
              <w:divBdr>
                <w:top w:val="none" w:sz="0" w:space="0" w:color="auto"/>
                <w:left w:val="none" w:sz="0" w:space="0" w:color="auto"/>
                <w:bottom w:val="none" w:sz="0" w:space="0" w:color="auto"/>
                <w:right w:val="none" w:sz="0" w:space="0" w:color="auto"/>
              </w:divBdr>
              <w:divsChild>
                <w:div w:id="6285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1250</Words>
  <Characters>6876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Covadonga</dc:creator>
  <cp:lastModifiedBy>Beita Ferrer Martín de Vidales</cp:lastModifiedBy>
  <cp:revision>3</cp:revision>
  <cp:lastPrinted>2017-01-01T19:08:00Z</cp:lastPrinted>
  <dcterms:created xsi:type="dcterms:W3CDTF">2017-02-01T15:36:00Z</dcterms:created>
  <dcterms:modified xsi:type="dcterms:W3CDTF">2017-02-01T15:51:00Z</dcterms:modified>
</cp:coreProperties>
</file>