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3561C2" w:rsidRPr="00E21E4D" w14:paraId="36284EBA" w14:textId="77777777" w:rsidTr="00E21E4D">
        <w:trPr>
          <w:trHeight w:val="355"/>
        </w:trPr>
        <w:tc>
          <w:tcPr>
            <w:tcW w:w="9632" w:type="dxa"/>
            <w:tcBorders>
              <w:top w:val="nil"/>
              <w:left w:val="nil"/>
              <w:bottom w:val="nil"/>
              <w:right w:val="nil"/>
            </w:tcBorders>
            <w:shd w:val="clear" w:color="auto" w:fill="D9D9D9" w:themeFill="background1" w:themeFillShade="D9"/>
            <w:tcMar>
              <w:top w:w="80" w:type="dxa"/>
              <w:left w:w="80" w:type="dxa"/>
              <w:bottom w:w="80" w:type="dxa"/>
              <w:right w:w="80" w:type="dxa"/>
            </w:tcMar>
          </w:tcPr>
          <w:p w14:paraId="338CA87B" w14:textId="127831EE" w:rsidR="003561C2" w:rsidRPr="00E21E4D" w:rsidRDefault="00E21E4D" w:rsidP="00E642FF">
            <w:pPr>
              <w:rPr>
                <w:rFonts w:hAnsi="Times New Roman" w:cs="Times New Roman"/>
                <w:b/>
              </w:rPr>
            </w:pPr>
            <w:r w:rsidRPr="00E21E4D">
              <w:rPr>
                <w:rFonts w:hAnsi="Times New Roman" w:cs="Times New Roman"/>
                <w:b/>
              </w:rPr>
              <w:t xml:space="preserve">Asignatura: </w:t>
            </w:r>
            <w:r w:rsidR="00987609">
              <w:rPr>
                <w:rFonts w:hAnsi="Times New Roman" w:cs="Times New Roman"/>
                <w:b/>
              </w:rPr>
              <w:t>El procedimiento legislativo de la Unión</w:t>
            </w:r>
            <w:r w:rsidR="0033670C">
              <w:rPr>
                <w:rFonts w:hAnsi="Times New Roman" w:cs="Times New Roman"/>
                <w:b/>
              </w:rPr>
              <w:t>/</w:t>
            </w:r>
            <w:r w:rsidR="00987609">
              <w:rPr>
                <w:rFonts w:hAnsi="Times New Roman" w:cs="Times New Roman"/>
                <w:b/>
              </w:rPr>
              <w:t>EU Legislative Procedure</w:t>
            </w:r>
          </w:p>
        </w:tc>
      </w:tr>
    </w:tbl>
    <w:p w14:paraId="4113D528" w14:textId="77777777" w:rsidR="00E21E4D" w:rsidRPr="00E21E4D" w:rsidRDefault="00E21E4D"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Módulo 2. Especialización (segundo cuatrimestre).</w:t>
      </w:r>
    </w:p>
    <w:p w14:paraId="30E54237" w14:textId="77777777" w:rsidR="00E21E4D" w:rsidRPr="00E21E4D" w:rsidRDefault="00E21E4D"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Materia: Derecho Parlamentario.</w:t>
      </w:r>
    </w:p>
    <w:p w14:paraId="6629F3EC" w14:textId="77777777" w:rsidR="00E21E4D" w:rsidRPr="00E21E4D" w:rsidRDefault="00E21E4D"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Tipo de asignatura: Optativa.</w:t>
      </w:r>
    </w:p>
    <w:p w14:paraId="727F8A8F" w14:textId="77777777" w:rsidR="00E21E4D" w:rsidRPr="00E21E4D" w:rsidRDefault="00E21E4D"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Créditos: 6 ECTS</w:t>
      </w:r>
    </w:p>
    <w:p w14:paraId="21F38A62" w14:textId="16B338B3" w:rsidR="00E21E4D" w:rsidRDefault="00E21E4D"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Profesores:</w:t>
      </w:r>
    </w:p>
    <w:p w14:paraId="7492F368" w14:textId="6CDC065D" w:rsidR="00E21E4D" w:rsidRDefault="00E21E4D" w:rsidP="00E21E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w:t>
      </w:r>
      <w:r w:rsidR="0033670C">
        <w:rPr>
          <w:rFonts w:ascii="Century Gothic" w:eastAsia="Times New Roman" w:hAnsi="Century Gothic" w:cs="Times New Roman"/>
          <w:sz w:val="19"/>
          <w:szCs w:val="19"/>
          <w:bdr w:val="none" w:sz="0" w:space="0" w:color="auto"/>
          <w:lang w:val="es-ES" w:eastAsia="es-ES"/>
        </w:rPr>
        <w:t>ª</w:t>
      </w:r>
      <w:r>
        <w:rPr>
          <w:rFonts w:ascii="Century Gothic" w:eastAsia="Times New Roman" w:hAnsi="Century Gothic" w:cs="Times New Roman"/>
          <w:sz w:val="19"/>
          <w:szCs w:val="19"/>
          <w:bdr w:val="none" w:sz="0" w:space="0" w:color="auto"/>
          <w:lang w:val="es-ES" w:eastAsia="es-ES"/>
        </w:rPr>
        <w:t>. Dr</w:t>
      </w:r>
      <w:r w:rsidR="0033670C">
        <w:rPr>
          <w:rFonts w:ascii="Century Gothic" w:eastAsia="Times New Roman" w:hAnsi="Century Gothic" w:cs="Times New Roman"/>
          <w:sz w:val="19"/>
          <w:szCs w:val="19"/>
          <w:bdr w:val="none" w:sz="0" w:space="0" w:color="auto"/>
          <w:lang w:val="es-ES" w:eastAsia="es-ES"/>
        </w:rPr>
        <w:t>a</w:t>
      </w:r>
      <w:r>
        <w:rPr>
          <w:rFonts w:ascii="Century Gothic" w:eastAsia="Times New Roman" w:hAnsi="Century Gothic" w:cs="Times New Roman"/>
          <w:sz w:val="19"/>
          <w:szCs w:val="19"/>
          <w:bdr w:val="none" w:sz="0" w:space="0" w:color="auto"/>
          <w:lang w:val="es-ES" w:eastAsia="es-ES"/>
        </w:rPr>
        <w:t xml:space="preserve">. </w:t>
      </w:r>
      <w:r w:rsidR="00987609">
        <w:rPr>
          <w:rFonts w:ascii="Century Gothic" w:eastAsia="Times New Roman" w:hAnsi="Century Gothic" w:cs="Times New Roman"/>
          <w:sz w:val="19"/>
          <w:szCs w:val="19"/>
          <w:bdr w:val="none" w:sz="0" w:space="0" w:color="auto"/>
          <w:lang w:val="es-ES" w:eastAsia="es-ES"/>
        </w:rPr>
        <w:t>Covadonga Ferrer Martín de Vidales</w:t>
      </w:r>
      <w:r>
        <w:rPr>
          <w:rFonts w:ascii="Century Gothic" w:eastAsia="Times New Roman" w:hAnsi="Century Gothic" w:cs="Times New Roman"/>
          <w:sz w:val="19"/>
          <w:szCs w:val="19"/>
          <w:bdr w:val="none" w:sz="0" w:space="0" w:color="auto"/>
          <w:lang w:val="es-ES" w:eastAsia="es-ES"/>
        </w:rPr>
        <w:t xml:space="preserve"> (coordinador</w:t>
      </w:r>
      <w:r w:rsidR="008B4851">
        <w:rPr>
          <w:rFonts w:ascii="Century Gothic" w:eastAsia="Times New Roman" w:hAnsi="Century Gothic" w:cs="Times New Roman"/>
          <w:sz w:val="19"/>
          <w:szCs w:val="19"/>
          <w:bdr w:val="none" w:sz="0" w:space="0" w:color="auto"/>
          <w:lang w:val="es-ES" w:eastAsia="es-ES"/>
        </w:rPr>
        <w:t>a</w:t>
      </w:r>
      <w:r>
        <w:rPr>
          <w:rFonts w:ascii="Century Gothic" w:eastAsia="Times New Roman" w:hAnsi="Century Gothic" w:cs="Times New Roman"/>
          <w:sz w:val="19"/>
          <w:szCs w:val="19"/>
          <w:bdr w:val="none" w:sz="0" w:space="0" w:color="auto"/>
          <w:lang w:val="es-ES" w:eastAsia="es-ES"/>
        </w:rPr>
        <w:t>)</w:t>
      </w:r>
    </w:p>
    <w:p w14:paraId="02A096CB" w14:textId="4F969BF1" w:rsidR="00492A8D" w:rsidRDefault="00492A8D" w:rsidP="00492A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 xml:space="preserve">Prof. Dr. </w:t>
      </w:r>
      <w:r w:rsidR="00987609">
        <w:rPr>
          <w:rFonts w:ascii="Century Gothic" w:eastAsia="Times New Roman" w:hAnsi="Century Gothic" w:cs="Times New Roman"/>
          <w:sz w:val="19"/>
          <w:szCs w:val="19"/>
          <w:bdr w:val="none" w:sz="0" w:space="0" w:color="auto"/>
          <w:lang w:val="es-ES" w:eastAsia="es-ES"/>
        </w:rPr>
        <w:t>José Carlos Cano</w:t>
      </w:r>
    </w:p>
    <w:p w14:paraId="5FE93C1F" w14:textId="6292CD73" w:rsidR="00987609" w:rsidRDefault="00987609" w:rsidP="00492A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 xml:space="preserve">Profª. </w:t>
      </w:r>
      <w:proofErr w:type="spellStart"/>
      <w:r>
        <w:rPr>
          <w:rFonts w:ascii="Century Gothic" w:eastAsia="Times New Roman" w:hAnsi="Century Gothic" w:cs="Times New Roman"/>
          <w:sz w:val="19"/>
          <w:szCs w:val="19"/>
          <w:bdr w:val="none" w:sz="0" w:space="0" w:color="auto"/>
          <w:lang w:val="es-ES" w:eastAsia="es-ES"/>
        </w:rPr>
        <w:t>Maria</w:t>
      </w:r>
      <w:proofErr w:type="spellEnd"/>
      <w:r>
        <w:rPr>
          <w:rFonts w:ascii="Century Gothic" w:eastAsia="Times New Roman" w:hAnsi="Century Gothic" w:cs="Times New Roman"/>
          <w:sz w:val="19"/>
          <w:szCs w:val="19"/>
          <w:bdr w:val="none" w:sz="0" w:space="0" w:color="auto"/>
          <w:lang w:val="es-ES" w:eastAsia="es-ES"/>
        </w:rPr>
        <w:t xml:space="preserve"> José Martínez Iglesias (Parlamento Europeo)</w:t>
      </w:r>
    </w:p>
    <w:p w14:paraId="613E19E1" w14:textId="12A19362" w:rsidR="008B4851" w:rsidRDefault="008B4851" w:rsidP="00E21E4D">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Profª.</w:t>
      </w:r>
      <w:r w:rsidR="00987609">
        <w:rPr>
          <w:rFonts w:ascii="Century Gothic" w:eastAsia="Times New Roman" w:hAnsi="Century Gothic" w:cs="Times New Roman"/>
          <w:sz w:val="19"/>
          <w:szCs w:val="19"/>
          <w:bdr w:val="none" w:sz="0" w:space="0" w:color="auto"/>
          <w:lang w:val="es-ES" w:eastAsia="es-ES"/>
        </w:rPr>
        <w:t xml:space="preserve"> Carmen Sánchez Abarca (Congreso de los Diputados)</w:t>
      </w:r>
    </w:p>
    <w:p w14:paraId="5B9FDA69" w14:textId="77777777" w:rsidR="00987609" w:rsidRPr="00E21E4D" w:rsidRDefault="00987609" w:rsidP="00E21E4D">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720"/>
        <w:jc w:val="both"/>
        <w:rPr>
          <w:rFonts w:ascii="Century Gothic" w:eastAsia="Times New Roman" w:hAnsi="Century Gothic" w:cs="Times New Roman"/>
          <w:sz w:val="19"/>
          <w:szCs w:val="19"/>
          <w:bdr w:val="none" w:sz="0" w:space="0" w:color="auto"/>
          <w:lang w:val="es-ES" w:eastAsia="es-ES"/>
        </w:rPr>
      </w:pPr>
    </w:p>
    <w:p w14:paraId="4ADBC1A0" w14:textId="77777777" w:rsidR="003561C2" w:rsidRPr="00E642FF" w:rsidRDefault="003561C2" w:rsidP="00E642FF">
      <w:pPr>
        <w:tabs>
          <w:tab w:val="left" w:pos="1576"/>
        </w:tabs>
        <w:jc w:val="both"/>
        <w:rPr>
          <w:rFonts w:eastAsia="Calibri" w:hAnsi="Times New Roman" w:cs="Times New Roman"/>
          <w:lang w:val="es-ES_tradnl"/>
        </w:rPr>
      </w:pPr>
    </w:p>
    <w:p w14:paraId="294AE3CD" w14:textId="2EA03CC2" w:rsidR="0045014F" w:rsidRPr="00E21E4D" w:rsidRDefault="00E21E4D" w:rsidP="00E642FF">
      <w:pPr>
        <w:jc w:val="both"/>
        <w:rPr>
          <w:rFonts w:hAnsi="Times New Roman" w:cs="Times New Roman"/>
          <w:b/>
          <w:lang w:val="es-ES"/>
        </w:rPr>
      </w:pPr>
      <w:r w:rsidRPr="00E21E4D">
        <w:rPr>
          <w:rFonts w:hAnsi="Times New Roman" w:cs="Times New Roman"/>
          <w:b/>
          <w:lang w:val="es-ES"/>
        </w:rPr>
        <w:t>Presentación</w:t>
      </w:r>
    </w:p>
    <w:p w14:paraId="54479DF1" w14:textId="122AE72A" w:rsidR="00E21E4D" w:rsidRDefault="00E21E4D" w:rsidP="00E642FF">
      <w:pPr>
        <w:jc w:val="both"/>
        <w:rPr>
          <w:rFonts w:hAnsi="Times New Roman" w:cs="Times New Roman"/>
          <w:lang w:val="es-ES"/>
        </w:rPr>
      </w:pPr>
    </w:p>
    <w:p w14:paraId="7DE71A70" w14:textId="781102AE" w:rsidR="00FC516D" w:rsidRPr="00987609" w:rsidRDefault="00FC516D" w:rsidP="00987609">
      <w:pPr>
        <w:jc w:val="both"/>
        <w:rPr>
          <w:lang w:val="es-ES"/>
        </w:rPr>
      </w:pPr>
      <w:r w:rsidRPr="00987609">
        <w:rPr>
          <w:lang w:val="es-ES"/>
        </w:rPr>
        <w:t xml:space="preserve">La asignatura </w:t>
      </w:r>
      <w:r w:rsidR="0033670C" w:rsidRPr="00987609">
        <w:rPr>
          <w:lang w:val="es-ES"/>
        </w:rPr>
        <w:t xml:space="preserve">tiene como objetivo </w:t>
      </w:r>
      <w:r w:rsidR="00987609" w:rsidRPr="00987609">
        <w:rPr>
          <w:lang w:val="es-ES"/>
        </w:rPr>
        <w:t>analizar el procedimiento legislativo de la Uni</w:t>
      </w:r>
      <w:r w:rsidR="00987609" w:rsidRPr="00987609">
        <w:rPr>
          <w:lang w:val="es-ES"/>
        </w:rPr>
        <w:t>ó</w:t>
      </w:r>
      <w:r w:rsidR="00987609" w:rsidRPr="00987609">
        <w:rPr>
          <w:lang w:val="es-ES"/>
        </w:rPr>
        <w:t>n Europea, dando una visi</w:t>
      </w:r>
      <w:r w:rsidR="00987609" w:rsidRPr="00987609">
        <w:rPr>
          <w:lang w:val="es-ES"/>
        </w:rPr>
        <w:t>ó</w:t>
      </w:r>
      <w:r w:rsidR="00987609" w:rsidRPr="00987609">
        <w:rPr>
          <w:lang w:val="es-ES"/>
        </w:rPr>
        <w:t>n de c</w:t>
      </w:r>
      <w:r w:rsidR="00987609" w:rsidRPr="00987609">
        <w:rPr>
          <w:lang w:val="es-ES"/>
        </w:rPr>
        <w:t>ó</w:t>
      </w:r>
      <w:r w:rsidR="00987609" w:rsidRPr="00987609">
        <w:rPr>
          <w:lang w:val="es-ES"/>
        </w:rPr>
        <w:t>mo se adoptan las normas a nivel de la Uni</w:t>
      </w:r>
      <w:r w:rsidR="00987609" w:rsidRPr="00987609">
        <w:rPr>
          <w:lang w:val="es-ES"/>
        </w:rPr>
        <w:t>ó</w:t>
      </w:r>
      <w:r w:rsidR="00987609" w:rsidRPr="00987609">
        <w:rPr>
          <w:lang w:val="es-ES"/>
        </w:rPr>
        <w:t>n, no s</w:t>
      </w:r>
      <w:r w:rsidR="00987609" w:rsidRPr="00987609">
        <w:rPr>
          <w:lang w:val="es-ES"/>
        </w:rPr>
        <w:t>ó</w:t>
      </w:r>
      <w:r w:rsidR="00987609" w:rsidRPr="00987609">
        <w:rPr>
          <w:lang w:val="es-ES"/>
        </w:rPr>
        <w:t>lo examinando las reglas formales, sino entendiendo la manera en que la legislaci</w:t>
      </w:r>
      <w:r w:rsidR="00987609" w:rsidRPr="00987609">
        <w:rPr>
          <w:lang w:val="es-ES"/>
        </w:rPr>
        <w:t>ó</w:t>
      </w:r>
      <w:r w:rsidR="00987609" w:rsidRPr="00987609">
        <w:rPr>
          <w:lang w:val="es-ES"/>
        </w:rPr>
        <w:t>n se adopta en la pr</w:t>
      </w:r>
      <w:r w:rsidR="00987609" w:rsidRPr="00987609">
        <w:rPr>
          <w:lang w:val="es-ES"/>
        </w:rPr>
        <w:t>á</w:t>
      </w:r>
      <w:r w:rsidR="00987609" w:rsidRPr="00987609">
        <w:rPr>
          <w:lang w:val="es-ES"/>
        </w:rPr>
        <w:t>ctica. As</w:t>
      </w:r>
      <w:r w:rsidR="00987609" w:rsidRPr="00987609">
        <w:rPr>
          <w:lang w:val="es-ES"/>
        </w:rPr>
        <w:t>í</w:t>
      </w:r>
      <w:r w:rsidR="00987609" w:rsidRPr="00987609">
        <w:rPr>
          <w:lang w:val="es-ES"/>
        </w:rPr>
        <w:t>, en primer lugar, se abordar</w:t>
      </w:r>
      <w:r w:rsidR="00987609" w:rsidRPr="00987609">
        <w:rPr>
          <w:lang w:val="es-ES"/>
        </w:rPr>
        <w:t>á</w:t>
      </w:r>
      <w:r w:rsidR="00987609" w:rsidRPr="00987609">
        <w:rPr>
          <w:lang w:val="es-ES"/>
        </w:rPr>
        <w:t xml:space="preserve"> el procedimiento de adopci</w:t>
      </w:r>
      <w:r w:rsidR="00987609" w:rsidRPr="00987609">
        <w:rPr>
          <w:lang w:val="es-ES"/>
        </w:rPr>
        <w:t>ó</w:t>
      </w:r>
      <w:r w:rsidR="00987609" w:rsidRPr="00987609">
        <w:rPr>
          <w:lang w:val="es-ES"/>
        </w:rPr>
        <w:t xml:space="preserve">n de decisiones en la </w:t>
      </w:r>
      <w:r w:rsidR="00987609">
        <w:rPr>
          <w:lang w:val="es-ES"/>
        </w:rPr>
        <w:t>Uni</w:t>
      </w:r>
      <w:r w:rsidR="00987609">
        <w:rPr>
          <w:lang w:val="es-ES"/>
        </w:rPr>
        <w:t>ó</w:t>
      </w:r>
      <w:r w:rsidR="00987609">
        <w:rPr>
          <w:lang w:val="es-ES"/>
        </w:rPr>
        <w:t>n Europea, examinando los distintos tipos de procedimientos legislativos existentes. En segundo lugar, se estudiar</w:t>
      </w:r>
      <w:r w:rsidR="00987609">
        <w:rPr>
          <w:lang w:val="es-ES"/>
        </w:rPr>
        <w:t>á</w:t>
      </w:r>
      <w:r w:rsidR="00987609">
        <w:rPr>
          <w:lang w:val="es-ES"/>
        </w:rPr>
        <w:t xml:space="preserve"> la participaci</w:t>
      </w:r>
      <w:r w:rsidR="00987609">
        <w:rPr>
          <w:lang w:val="es-ES"/>
        </w:rPr>
        <w:t>ó</w:t>
      </w:r>
      <w:r w:rsidR="00987609">
        <w:rPr>
          <w:lang w:val="es-ES"/>
        </w:rPr>
        <w:t>n de los parlamentos nacionales en el proceso decisorio europeo, problem</w:t>
      </w:r>
      <w:r w:rsidR="00987609">
        <w:rPr>
          <w:lang w:val="es-ES"/>
        </w:rPr>
        <w:t>á</w:t>
      </w:r>
      <w:r w:rsidR="00987609">
        <w:rPr>
          <w:lang w:val="es-ES"/>
        </w:rPr>
        <w:t>tica en la que la asignatura cuenta con la participaci</w:t>
      </w:r>
      <w:r w:rsidR="00987609">
        <w:rPr>
          <w:lang w:val="es-ES"/>
        </w:rPr>
        <w:t>ó</w:t>
      </w:r>
      <w:r w:rsidR="00987609">
        <w:rPr>
          <w:lang w:val="es-ES"/>
        </w:rPr>
        <w:t>n de una funcionaria representante del parlamento espa</w:t>
      </w:r>
      <w:r w:rsidR="00987609">
        <w:rPr>
          <w:lang w:val="es-ES"/>
        </w:rPr>
        <w:t>ñ</w:t>
      </w:r>
      <w:r w:rsidR="00987609">
        <w:rPr>
          <w:lang w:val="es-ES"/>
        </w:rPr>
        <w:t>ol y que abordar</w:t>
      </w:r>
      <w:r w:rsidR="00987609">
        <w:rPr>
          <w:lang w:val="es-ES"/>
        </w:rPr>
        <w:t>á</w:t>
      </w:r>
      <w:r w:rsidR="00987609">
        <w:rPr>
          <w:lang w:val="es-ES"/>
        </w:rPr>
        <w:t xml:space="preserve"> el caso de Espa</w:t>
      </w:r>
      <w:r w:rsidR="00987609">
        <w:rPr>
          <w:lang w:val="es-ES"/>
        </w:rPr>
        <w:t>ñ</w:t>
      </w:r>
      <w:r w:rsidR="00987609">
        <w:rPr>
          <w:lang w:val="es-ES"/>
        </w:rPr>
        <w:t>a y los mecanismos que se han establecido al respecto. A continuaci</w:t>
      </w:r>
      <w:r w:rsidR="00987609">
        <w:rPr>
          <w:lang w:val="es-ES"/>
        </w:rPr>
        <w:t>ó</w:t>
      </w:r>
      <w:r w:rsidR="00987609">
        <w:rPr>
          <w:lang w:val="es-ES"/>
        </w:rPr>
        <w:t>n, en tercer lugar, se tratar</w:t>
      </w:r>
      <w:r w:rsidR="00987609">
        <w:rPr>
          <w:lang w:val="es-ES"/>
        </w:rPr>
        <w:t>á</w:t>
      </w:r>
      <w:r w:rsidR="00987609">
        <w:rPr>
          <w:lang w:val="es-ES"/>
        </w:rPr>
        <w:t xml:space="preserve"> la participaci</w:t>
      </w:r>
      <w:r w:rsidR="00987609">
        <w:rPr>
          <w:lang w:val="es-ES"/>
        </w:rPr>
        <w:t>ó</w:t>
      </w:r>
      <w:r w:rsidR="00987609">
        <w:rPr>
          <w:lang w:val="es-ES"/>
        </w:rPr>
        <w:t xml:space="preserve">n del Parlamento Europeo en el citado procedimiento legislativo, para lo cual se cuenta con la amplia experiencia de la directora de asuntos legislativos del Parlamento Europeo. Por </w:t>
      </w:r>
      <w:r w:rsidR="00987609">
        <w:rPr>
          <w:lang w:val="es-ES"/>
        </w:rPr>
        <w:t>ú</w:t>
      </w:r>
      <w:r w:rsidR="00987609">
        <w:rPr>
          <w:lang w:val="es-ES"/>
        </w:rPr>
        <w:t>ltimo, la asignatura aborda tambi</w:t>
      </w:r>
      <w:r w:rsidR="00987609">
        <w:rPr>
          <w:lang w:val="es-ES"/>
        </w:rPr>
        <w:t>é</w:t>
      </w:r>
      <w:r w:rsidR="00987609">
        <w:rPr>
          <w:lang w:val="es-ES"/>
        </w:rPr>
        <w:t xml:space="preserve">n las medidas adoptadas en materia de transparencia y Smart </w:t>
      </w:r>
      <w:proofErr w:type="spellStart"/>
      <w:r w:rsidR="00987609">
        <w:rPr>
          <w:lang w:val="es-ES"/>
        </w:rPr>
        <w:t>regulation</w:t>
      </w:r>
      <w:proofErr w:type="spellEnd"/>
      <w:r w:rsidR="00987609">
        <w:rPr>
          <w:lang w:val="es-ES"/>
        </w:rPr>
        <w:t xml:space="preserve"> a nivel de la Uni</w:t>
      </w:r>
      <w:r w:rsidR="00987609">
        <w:rPr>
          <w:lang w:val="es-ES"/>
        </w:rPr>
        <w:t>ó</w:t>
      </w:r>
      <w:r w:rsidR="00987609">
        <w:rPr>
          <w:lang w:val="es-ES"/>
        </w:rPr>
        <w:t xml:space="preserve">n para un mejor desarrollo del proceso legislativo. </w:t>
      </w:r>
    </w:p>
    <w:p w14:paraId="2E128CF3" w14:textId="5733F87A" w:rsidR="00987609" w:rsidRDefault="00987609" w:rsidP="00E642FF">
      <w:pPr>
        <w:jc w:val="both"/>
      </w:pPr>
    </w:p>
    <w:p w14:paraId="38C59E45" w14:textId="77777777" w:rsidR="00FC516D" w:rsidRDefault="00FC516D" w:rsidP="00E642FF">
      <w:pPr>
        <w:jc w:val="both"/>
      </w:pPr>
    </w:p>
    <w:p w14:paraId="4416F7D2" w14:textId="261356E5" w:rsidR="0083141E" w:rsidRPr="00F035FA" w:rsidRDefault="00F035FA" w:rsidP="00F035FA">
      <w:pPr>
        <w:jc w:val="both"/>
        <w:rPr>
          <w:rFonts w:hAnsi="Times New Roman" w:cs="Times New Roman"/>
          <w:b/>
          <w:lang w:val="es-ES"/>
        </w:rPr>
      </w:pPr>
      <w:r w:rsidRPr="00F035FA">
        <w:rPr>
          <w:rFonts w:hAnsi="Times New Roman" w:cs="Times New Roman"/>
          <w:b/>
          <w:lang w:val="es-ES"/>
        </w:rPr>
        <w:t>Objetivos</w:t>
      </w:r>
    </w:p>
    <w:p w14:paraId="6C28E31A" w14:textId="3D087B79" w:rsidR="00F035FA" w:rsidRPr="00B723F9" w:rsidRDefault="00F035FA"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Analizar </w:t>
      </w:r>
      <w:r w:rsidR="00987609">
        <w:rPr>
          <w:rFonts w:hAnsi="Times New Roman" w:cs="Times New Roman"/>
          <w:lang w:val="es-ES"/>
        </w:rPr>
        <w:t>el proceso legislativo de la UE</w:t>
      </w:r>
      <w:r w:rsidR="00503EC1">
        <w:rPr>
          <w:rFonts w:hAnsi="Times New Roman" w:cs="Times New Roman"/>
          <w:lang w:val="es-ES"/>
        </w:rPr>
        <w:t>.</w:t>
      </w:r>
    </w:p>
    <w:p w14:paraId="60A2B05D" w14:textId="53BD3E84" w:rsidR="00F035FA" w:rsidRPr="00B723F9" w:rsidRDefault="00F035FA"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Examinar </w:t>
      </w:r>
      <w:r w:rsidR="00987609">
        <w:rPr>
          <w:rFonts w:hAnsi="Times New Roman" w:cs="Times New Roman"/>
          <w:lang w:val="es-ES"/>
        </w:rPr>
        <w:t>los distintos tipos de procedimientos existentes para la adopción de decisiones</w:t>
      </w:r>
      <w:r w:rsidR="00503EC1">
        <w:rPr>
          <w:rFonts w:hAnsi="Times New Roman" w:cs="Times New Roman"/>
          <w:lang w:val="es-ES"/>
        </w:rPr>
        <w:t xml:space="preserve"> </w:t>
      </w:r>
    </w:p>
    <w:p w14:paraId="3C479A08" w14:textId="4981B824" w:rsidR="0084183D" w:rsidRDefault="00F035FA"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Abordar</w:t>
      </w:r>
      <w:r w:rsidR="00C704F8">
        <w:rPr>
          <w:rFonts w:hAnsi="Times New Roman" w:cs="Times New Roman"/>
          <w:lang w:val="es-ES"/>
        </w:rPr>
        <w:t xml:space="preserve"> </w:t>
      </w:r>
      <w:r w:rsidR="00987609">
        <w:rPr>
          <w:rFonts w:hAnsi="Times New Roman" w:cs="Times New Roman"/>
          <w:lang w:val="es-ES"/>
        </w:rPr>
        <w:t>la participación de los parlamentos nacionales en el proceso decisorio europeo</w:t>
      </w:r>
      <w:r w:rsidRPr="00B723F9">
        <w:rPr>
          <w:rFonts w:hAnsi="Times New Roman" w:cs="Times New Roman"/>
          <w:lang w:val="es-ES"/>
        </w:rPr>
        <w:t>.</w:t>
      </w:r>
    </w:p>
    <w:p w14:paraId="108218CB" w14:textId="189498E0" w:rsidR="00987609" w:rsidRDefault="00987609"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Pr>
          <w:rFonts w:hAnsi="Times New Roman" w:cs="Times New Roman"/>
          <w:lang w:val="es-ES"/>
        </w:rPr>
        <w:t>Estudiar la participación del Parlamento Europeo en el proceso legislativo.</w:t>
      </w:r>
    </w:p>
    <w:p w14:paraId="17B97EBA" w14:textId="7A54F7AF" w:rsidR="00987609" w:rsidRPr="00C8514E" w:rsidRDefault="00B60B63" w:rsidP="008B2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Pr>
          <w:rFonts w:hAnsi="Times New Roman" w:cs="Times New Roman"/>
          <w:lang w:val="es-ES"/>
        </w:rPr>
        <w:t xml:space="preserve">Aproximarse a las medidas de transparencia y Smart </w:t>
      </w:r>
      <w:proofErr w:type="spellStart"/>
      <w:r>
        <w:rPr>
          <w:rFonts w:hAnsi="Times New Roman" w:cs="Times New Roman"/>
          <w:lang w:val="es-ES"/>
        </w:rPr>
        <w:t>regulation</w:t>
      </w:r>
      <w:proofErr w:type="spellEnd"/>
      <w:r>
        <w:rPr>
          <w:rFonts w:hAnsi="Times New Roman" w:cs="Times New Roman"/>
          <w:lang w:val="es-ES"/>
        </w:rPr>
        <w:t xml:space="preserve"> a nivel de la Unión. </w:t>
      </w:r>
    </w:p>
    <w:p w14:paraId="3317651D" w14:textId="586AD0F1" w:rsidR="003561C2" w:rsidRPr="00F035FA" w:rsidRDefault="00F035FA" w:rsidP="00E642FF">
      <w:pPr>
        <w:widowControl w:val="0"/>
        <w:jc w:val="both"/>
        <w:rPr>
          <w:rFonts w:hAnsi="Times New Roman" w:cs="Times New Roman"/>
          <w:b/>
          <w:lang w:val="es-ES"/>
        </w:rPr>
      </w:pPr>
      <w:r w:rsidRPr="00F035FA">
        <w:rPr>
          <w:rFonts w:hAnsi="Times New Roman" w:cs="Times New Roman"/>
          <w:b/>
          <w:lang w:val="es-ES"/>
        </w:rPr>
        <w:t>Contenidos</w:t>
      </w:r>
    </w:p>
    <w:p w14:paraId="238EDF55" w14:textId="77777777" w:rsidR="003561C2" w:rsidRPr="00F035FA" w:rsidRDefault="003561C2" w:rsidP="00E642FF">
      <w:pPr>
        <w:widowControl w:val="0"/>
        <w:jc w:val="both"/>
        <w:rPr>
          <w:rFonts w:hAnsi="Times New Roman" w:cs="Times New Roman"/>
          <w:lang w:val="es-ES"/>
        </w:rPr>
      </w:pPr>
    </w:p>
    <w:p w14:paraId="2F226A07" w14:textId="7F1B20F6" w:rsidR="008B7DBA" w:rsidRDefault="00F035FA" w:rsidP="00B60B63">
      <w:pPr>
        <w:widowControl w:val="0"/>
        <w:ind w:left="426"/>
        <w:jc w:val="both"/>
        <w:rPr>
          <w:rFonts w:hAnsi="Times New Roman" w:cs="Times New Roman"/>
          <w:b/>
          <w:bCs/>
          <w:lang w:val="es-ES"/>
        </w:rPr>
      </w:pPr>
      <w:r w:rsidRPr="00C704F8">
        <w:rPr>
          <w:rFonts w:hAnsi="Times New Roman" w:cs="Times New Roman"/>
          <w:b/>
          <w:bCs/>
          <w:lang w:val="es-ES"/>
        </w:rPr>
        <w:t xml:space="preserve">Bloque 1: </w:t>
      </w:r>
      <w:r w:rsidR="00B60B63">
        <w:rPr>
          <w:rFonts w:hAnsi="Times New Roman" w:cs="Times New Roman"/>
          <w:b/>
          <w:bCs/>
          <w:lang w:val="es-ES"/>
        </w:rPr>
        <w:t>Procedimiento de adopción de decisiones de la UE</w:t>
      </w:r>
    </w:p>
    <w:p w14:paraId="4ECC6F08" w14:textId="5EAE8CA2" w:rsidR="00B60B63" w:rsidRDefault="00B60B63" w:rsidP="00B60B63">
      <w:pPr>
        <w:widowControl w:val="0"/>
        <w:ind w:left="426"/>
        <w:jc w:val="both"/>
        <w:rPr>
          <w:rFonts w:hAnsi="Times New Roman" w:cs="Times New Roman"/>
          <w:b/>
          <w:bCs/>
          <w:lang w:val="es-ES"/>
        </w:rPr>
      </w:pPr>
    </w:p>
    <w:p w14:paraId="2F108235" w14:textId="6BBE6889" w:rsidR="00B60B63" w:rsidRPr="00B60B63" w:rsidRDefault="00B60B63" w:rsidP="008B239D">
      <w:pPr>
        <w:pStyle w:val="Prrafodelista"/>
        <w:widowControl w:val="0"/>
        <w:numPr>
          <w:ilvl w:val="0"/>
          <w:numId w:val="12"/>
        </w:numPr>
        <w:jc w:val="both"/>
        <w:rPr>
          <w:rFonts w:hAnsi="Times New Roman" w:cs="Times New Roman"/>
          <w:bCs/>
          <w:lang w:val="es-ES"/>
        </w:rPr>
      </w:pPr>
      <w:r w:rsidRPr="00B60B63">
        <w:rPr>
          <w:rFonts w:hAnsi="Times New Roman" w:cs="Times New Roman"/>
          <w:bCs/>
          <w:lang w:val="es-ES"/>
        </w:rPr>
        <w:t>El papel de las distintas instituciones</w:t>
      </w:r>
    </w:p>
    <w:p w14:paraId="69561E08" w14:textId="5432771D" w:rsidR="00B60B63" w:rsidRPr="00B60B63" w:rsidRDefault="00B60B63" w:rsidP="008B239D">
      <w:pPr>
        <w:pStyle w:val="Prrafodelista"/>
        <w:widowControl w:val="0"/>
        <w:numPr>
          <w:ilvl w:val="0"/>
          <w:numId w:val="12"/>
        </w:numPr>
        <w:jc w:val="both"/>
        <w:rPr>
          <w:rFonts w:hAnsi="Times New Roman" w:cs="Times New Roman"/>
          <w:bCs/>
          <w:lang w:val="es-ES"/>
        </w:rPr>
      </w:pPr>
      <w:r w:rsidRPr="00B60B63">
        <w:rPr>
          <w:rFonts w:hAnsi="Times New Roman" w:cs="Times New Roman"/>
          <w:bCs/>
          <w:lang w:val="es-ES"/>
        </w:rPr>
        <w:t>Procedimiento legislativo ordinario</w:t>
      </w:r>
    </w:p>
    <w:p w14:paraId="063B5AF3" w14:textId="1605EF86" w:rsidR="00B60B63" w:rsidRPr="00B60B63" w:rsidRDefault="00B60B63" w:rsidP="008B239D">
      <w:pPr>
        <w:pStyle w:val="Prrafodelista"/>
        <w:widowControl w:val="0"/>
        <w:numPr>
          <w:ilvl w:val="0"/>
          <w:numId w:val="12"/>
        </w:numPr>
        <w:jc w:val="both"/>
        <w:rPr>
          <w:rFonts w:hAnsi="Times New Roman" w:cs="Times New Roman"/>
          <w:bCs/>
          <w:lang w:val="es-ES"/>
        </w:rPr>
      </w:pPr>
      <w:r w:rsidRPr="00B60B63">
        <w:rPr>
          <w:rFonts w:hAnsi="Times New Roman" w:cs="Times New Roman"/>
          <w:bCs/>
          <w:lang w:val="es-ES"/>
        </w:rPr>
        <w:lastRenderedPageBreak/>
        <w:t>Otros procedimientos de adopción de decisiones</w:t>
      </w:r>
    </w:p>
    <w:p w14:paraId="4E1C0644" w14:textId="462287B4" w:rsidR="00B60B63" w:rsidRDefault="00B60B63" w:rsidP="00B60B63">
      <w:pPr>
        <w:widowControl w:val="0"/>
        <w:ind w:left="426"/>
        <w:jc w:val="both"/>
        <w:rPr>
          <w:rFonts w:hAnsi="Times New Roman" w:cs="Times New Roman"/>
          <w:b/>
          <w:bCs/>
          <w:lang w:val="es-ES"/>
        </w:rPr>
      </w:pPr>
    </w:p>
    <w:p w14:paraId="35BCE68C" w14:textId="53FB1902" w:rsidR="00B60B63" w:rsidRDefault="00B60B63" w:rsidP="00B60B63">
      <w:pPr>
        <w:widowControl w:val="0"/>
        <w:ind w:left="426"/>
        <w:jc w:val="both"/>
        <w:rPr>
          <w:rFonts w:hAnsi="Times New Roman" w:cs="Times New Roman"/>
          <w:b/>
          <w:bCs/>
          <w:lang w:val="es-ES"/>
        </w:rPr>
      </w:pPr>
      <w:r>
        <w:rPr>
          <w:rFonts w:hAnsi="Times New Roman" w:cs="Times New Roman"/>
          <w:b/>
          <w:bCs/>
          <w:lang w:val="es-ES"/>
        </w:rPr>
        <w:t>Bloque 2: El papel de los parlamentos nacionales en el proceso decisorio europeo.</w:t>
      </w:r>
    </w:p>
    <w:p w14:paraId="62FB412F" w14:textId="0088744F" w:rsidR="00B60B63" w:rsidRDefault="00B60B63" w:rsidP="00B60B63">
      <w:pPr>
        <w:widowControl w:val="0"/>
        <w:ind w:left="426"/>
        <w:jc w:val="both"/>
        <w:rPr>
          <w:rFonts w:hAnsi="Times New Roman" w:cs="Times New Roman"/>
          <w:b/>
          <w:bCs/>
          <w:lang w:val="es-ES"/>
        </w:rPr>
      </w:pPr>
    </w:p>
    <w:p w14:paraId="0DE2BE37" w14:textId="51AF9FF5" w:rsidR="00B60B63" w:rsidRPr="00B60B63" w:rsidRDefault="00B60B63" w:rsidP="008B239D">
      <w:pPr>
        <w:pStyle w:val="Prrafodelista"/>
        <w:widowControl w:val="0"/>
        <w:numPr>
          <w:ilvl w:val="0"/>
          <w:numId w:val="13"/>
        </w:numPr>
        <w:ind w:left="1560"/>
        <w:jc w:val="both"/>
        <w:rPr>
          <w:rFonts w:hAnsi="Times New Roman" w:cs="Times New Roman"/>
          <w:bCs/>
          <w:lang w:val="es-ES"/>
        </w:rPr>
      </w:pPr>
      <w:r w:rsidRPr="00B60B63">
        <w:rPr>
          <w:rFonts w:hAnsi="Times New Roman" w:cs="Times New Roman"/>
          <w:bCs/>
          <w:lang w:val="es-ES"/>
        </w:rPr>
        <w:t>Problemática</w:t>
      </w:r>
    </w:p>
    <w:p w14:paraId="599864C7" w14:textId="0591DCB0" w:rsidR="00B60B63" w:rsidRPr="00B60B63" w:rsidRDefault="00B60B63" w:rsidP="008B239D">
      <w:pPr>
        <w:pStyle w:val="Prrafodelista"/>
        <w:widowControl w:val="0"/>
        <w:numPr>
          <w:ilvl w:val="0"/>
          <w:numId w:val="13"/>
        </w:numPr>
        <w:ind w:left="1560"/>
        <w:jc w:val="both"/>
        <w:rPr>
          <w:rFonts w:hAnsi="Times New Roman" w:cs="Times New Roman"/>
          <w:bCs/>
          <w:lang w:val="es-ES"/>
        </w:rPr>
      </w:pPr>
      <w:r w:rsidRPr="00B60B63">
        <w:rPr>
          <w:rFonts w:hAnsi="Times New Roman" w:cs="Times New Roman"/>
          <w:bCs/>
          <w:lang w:val="es-ES"/>
        </w:rPr>
        <w:t>Mecanismos de participación directa e indirecta</w:t>
      </w:r>
    </w:p>
    <w:p w14:paraId="47CC0B67" w14:textId="640E6DB4" w:rsidR="00B60B63" w:rsidRPr="00B60B63" w:rsidRDefault="00B60B63" w:rsidP="008B239D">
      <w:pPr>
        <w:pStyle w:val="Prrafodelista"/>
        <w:widowControl w:val="0"/>
        <w:numPr>
          <w:ilvl w:val="0"/>
          <w:numId w:val="13"/>
        </w:numPr>
        <w:ind w:left="1560"/>
        <w:jc w:val="both"/>
        <w:rPr>
          <w:rFonts w:hAnsi="Times New Roman" w:cs="Times New Roman"/>
          <w:bCs/>
          <w:lang w:val="es-ES"/>
        </w:rPr>
      </w:pPr>
      <w:r w:rsidRPr="00B60B63">
        <w:rPr>
          <w:rFonts w:hAnsi="Times New Roman" w:cs="Times New Roman"/>
          <w:bCs/>
          <w:lang w:val="es-ES"/>
        </w:rPr>
        <w:t>Efectividad de los mecanismos</w:t>
      </w:r>
    </w:p>
    <w:p w14:paraId="4491891E" w14:textId="6EC0D195" w:rsidR="00B60B63" w:rsidRDefault="00B60B63" w:rsidP="00B60B63">
      <w:pPr>
        <w:widowControl w:val="0"/>
        <w:ind w:left="426"/>
        <w:jc w:val="both"/>
        <w:rPr>
          <w:rFonts w:hAnsi="Times New Roman" w:cs="Times New Roman"/>
          <w:b/>
          <w:bCs/>
          <w:lang w:val="es-ES"/>
        </w:rPr>
      </w:pPr>
    </w:p>
    <w:p w14:paraId="76352CA6" w14:textId="19E64EC2" w:rsidR="00B60B63" w:rsidRDefault="00B60B63" w:rsidP="00B60B63">
      <w:pPr>
        <w:widowControl w:val="0"/>
        <w:ind w:left="426"/>
        <w:jc w:val="both"/>
        <w:rPr>
          <w:rFonts w:hAnsi="Times New Roman" w:cs="Times New Roman"/>
          <w:b/>
          <w:bCs/>
          <w:lang w:val="es-ES"/>
        </w:rPr>
      </w:pPr>
      <w:r>
        <w:rPr>
          <w:rFonts w:hAnsi="Times New Roman" w:cs="Times New Roman"/>
          <w:b/>
          <w:bCs/>
          <w:lang w:val="es-ES"/>
        </w:rPr>
        <w:t xml:space="preserve">Bloque 3: El papel del Parlamento Europeo en el procedimiento legislativo de la Unión. </w:t>
      </w:r>
    </w:p>
    <w:p w14:paraId="336820E6" w14:textId="30E876D5" w:rsidR="00B60B63" w:rsidRDefault="00B60B63" w:rsidP="00B60B63">
      <w:pPr>
        <w:widowControl w:val="0"/>
        <w:ind w:left="426"/>
        <w:jc w:val="both"/>
        <w:rPr>
          <w:rFonts w:hAnsi="Times New Roman" w:cs="Times New Roman"/>
          <w:b/>
          <w:bCs/>
          <w:lang w:val="es-ES"/>
        </w:rPr>
      </w:pPr>
    </w:p>
    <w:p w14:paraId="61239F9F" w14:textId="78184F09" w:rsidR="00B60B63" w:rsidRPr="00C704F8" w:rsidRDefault="00B60B63" w:rsidP="00B60B63">
      <w:pPr>
        <w:widowControl w:val="0"/>
        <w:ind w:left="426"/>
        <w:jc w:val="both"/>
        <w:rPr>
          <w:b/>
        </w:rPr>
      </w:pPr>
      <w:r>
        <w:rPr>
          <w:rFonts w:hAnsi="Times New Roman" w:cs="Times New Roman"/>
          <w:b/>
          <w:bCs/>
          <w:lang w:val="es-ES"/>
        </w:rPr>
        <w:t xml:space="preserve">Bloque 4: Transparencia y Smart </w:t>
      </w:r>
      <w:proofErr w:type="spellStart"/>
      <w:r>
        <w:rPr>
          <w:rFonts w:hAnsi="Times New Roman" w:cs="Times New Roman"/>
          <w:b/>
          <w:bCs/>
          <w:lang w:val="es-ES"/>
        </w:rPr>
        <w:t>Regulation</w:t>
      </w:r>
      <w:proofErr w:type="spellEnd"/>
      <w:r>
        <w:rPr>
          <w:rFonts w:hAnsi="Times New Roman" w:cs="Times New Roman"/>
          <w:b/>
          <w:bCs/>
          <w:lang w:val="es-ES"/>
        </w:rPr>
        <w:t xml:space="preserve">. </w:t>
      </w:r>
      <w:bookmarkStart w:id="0" w:name="_GoBack"/>
      <w:bookmarkEnd w:id="0"/>
    </w:p>
    <w:p w14:paraId="7586ECB2" w14:textId="2ABA2D32" w:rsidR="008B7DBA" w:rsidRPr="00C704F8" w:rsidRDefault="008B7DBA" w:rsidP="00C704F8">
      <w:pPr>
        <w:ind w:left="426"/>
        <w:jc w:val="both"/>
        <w:rPr>
          <w:b/>
        </w:rPr>
      </w:pPr>
    </w:p>
    <w:p w14:paraId="008F373E" w14:textId="33CDBA6D" w:rsidR="008B7DBA" w:rsidRDefault="008B7DBA" w:rsidP="00E642FF">
      <w:pPr>
        <w:jc w:val="both"/>
      </w:pPr>
    </w:p>
    <w:p w14:paraId="7675C614" w14:textId="77777777" w:rsidR="00C8514E" w:rsidRDefault="00C8514E" w:rsidP="00E642FF">
      <w:pPr>
        <w:jc w:val="both"/>
      </w:pPr>
    </w:p>
    <w:p w14:paraId="312EE019" w14:textId="77777777" w:rsidR="00F035FA" w:rsidRPr="00B723F9" w:rsidRDefault="00F035FA" w:rsidP="00F035FA">
      <w:pPr>
        <w:jc w:val="both"/>
        <w:rPr>
          <w:rFonts w:hAnsi="Times New Roman" w:cs="Times New Roman"/>
          <w:b/>
          <w:color w:val="auto"/>
          <w:u w:color="808080"/>
          <w:lang w:val="es-ES"/>
        </w:rPr>
      </w:pPr>
      <w:r w:rsidRPr="00B723F9">
        <w:rPr>
          <w:rFonts w:hAnsi="Times New Roman" w:cs="Times New Roman"/>
          <w:b/>
          <w:color w:val="auto"/>
          <w:u w:color="808080"/>
          <w:lang w:val="es-ES"/>
        </w:rPr>
        <w:t>Actividades formativas</w:t>
      </w:r>
    </w:p>
    <w:p w14:paraId="3CA54D8F" w14:textId="71D1328A"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2C9D348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1) Actividades presenciales.</w:t>
      </w:r>
    </w:p>
    <w:p w14:paraId="25F3EC44" w14:textId="77777777" w:rsidR="00F035FA" w:rsidRPr="00B723F9" w:rsidRDefault="00F035FA" w:rsidP="00F035FA">
      <w:pPr>
        <w:jc w:val="both"/>
        <w:rPr>
          <w:rFonts w:hAnsi="Times New Roman" w:cs="Times New Roman"/>
          <w:color w:val="auto"/>
          <w:u w:color="808080"/>
          <w:lang w:val="es-ES"/>
        </w:rPr>
      </w:pPr>
    </w:p>
    <w:p w14:paraId="19BBB769" w14:textId="331AE9A1"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Las actividades presenciales consisten en un pequeño número de clases magistrales y clases prácticas, que se concentrarán en los meses de </w:t>
      </w:r>
      <w:r w:rsidR="00B723F9">
        <w:rPr>
          <w:rFonts w:hAnsi="Times New Roman" w:cs="Times New Roman"/>
          <w:color w:val="auto"/>
          <w:u w:color="808080"/>
          <w:lang w:val="es-ES"/>
        </w:rPr>
        <w:t>enero</w:t>
      </w:r>
      <w:r w:rsidRPr="00B723F9">
        <w:rPr>
          <w:rFonts w:hAnsi="Times New Roman" w:cs="Times New Roman"/>
          <w:color w:val="auto"/>
          <w:u w:color="808080"/>
          <w:lang w:val="es-ES"/>
        </w:rPr>
        <w:t xml:space="preserve"> a </w:t>
      </w:r>
      <w:r w:rsidR="00B723F9">
        <w:rPr>
          <w:rFonts w:hAnsi="Times New Roman" w:cs="Times New Roman"/>
          <w:color w:val="auto"/>
          <w:u w:color="808080"/>
          <w:lang w:val="es-ES"/>
        </w:rPr>
        <w:t>marzo</w:t>
      </w:r>
      <w:r w:rsidRPr="00B723F9">
        <w:rPr>
          <w:rFonts w:hAnsi="Times New Roman" w:cs="Times New Roman"/>
          <w:color w:val="auto"/>
          <w:u w:color="808080"/>
          <w:lang w:val="es-ES"/>
        </w:rPr>
        <w:t xml:space="preserve">. Por este motivo las clases presenciales se complementarán con un programa de lecturas, que contribuirá a que el alumno tenga una visión general de la asignatura.  </w:t>
      </w:r>
    </w:p>
    <w:p w14:paraId="5177EE4B" w14:textId="77777777" w:rsidR="00F035FA" w:rsidRPr="00B723F9" w:rsidRDefault="00F035FA" w:rsidP="00F035FA">
      <w:pPr>
        <w:jc w:val="both"/>
        <w:rPr>
          <w:rFonts w:hAnsi="Times New Roman" w:cs="Times New Roman"/>
          <w:color w:val="auto"/>
          <w:u w:color="808080"/>
          <w:lang w:val="es-ES"/>
        </w:rPr>
      </w:pPr>
    </w:p>
    <w:p w14:paraId="00FD811A" w14:textId="106D28BE"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magistrales, y prácticas, se presentarán en el aula los conceptos y problemas fundamentales relacionados con el programa.</w:t>
      </w:r>
    </w:p>
    <w:p w14:paraId="184E6B5C" w14:textId="77777777" w:rsidR="00F035FA" w:rsidRPr="00B723F9" w:rsidRDefault="00F035FA" w:rsidP="00F035FA">
      <w:pPr>
        <w:jc w:val="both"/>
        <w:rPr>
          <w:rFonts w:hAnsi="Times New Roman" w:cs="Times New Roman"/>
          <w:color w:val="auto"/>
          <w:u w:color="808080"/>
          <w:lang w:val="es-ES"/>
        </w:rPr>
      </w:pPr>
    </w:p>
    <w:p w14:paraId="32C0D54E"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se abordarán también problemas prácticos. Se analizará una selección de temas concretos que son objeto de debate. Se estudiarán sentencias, y se utilizarán los métodos de discusión de casos, y resolución de problemas.</w:t>
      </w:r>
    </w:p>
    <w:p w14:paraId="2AC3E269" w14:textId="77777777" w:rsidR="00F035FA" w:rsidRPr="00B723F9" w:rsidRDefault="00F035FA" w:rsidP="00F035FA">
      <w:pPr>
        <w:jc w:val="both"/>
        <w:rPr>
          <w:rFonts w:hAnsi="Times New Roman" w:cs="Times New Roman"/>
          <w:color w:val="auto"/>
          <w:u w:color="808080"/>
          <w:lang w:val="es-ES"/>
        </w:rPr>
      </w:pPr>
    </w:p>
    <w:p w14:paraId="40352776" w14:textId="51E97640"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Las actividades presenciales se completarán con un programa de conferencias, seminarios, jornadas, visitas a instituciones, organizado por el Instituto de Derecho Parlamentario.</w:t>
      </w:r>
    </w:p>
    <w:p w14:paraId="5237A34C" w14:textId="77777777" w:rsidR="00F035FA" w:rsidRPr="00B723F9" w:rsidRDefault="00F035FA" w:rsidP="00F035FA">
      <w:pPr>
        <w:jc w:val="both"/>
        <w:rPr>
          <w:rFonts w:hAnsi="Times New Roman" w:cs="Times New Roman"/>
          <w:color w:val="auto"/>
          <w:u w:color="808080"/>
          <w:lang w:val="es-ES"/>
        </w:rPr>
      </w:pPr>
    </w:p>
    <w:p w14:paraId="3B8074C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3D8F89BB"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2) Actividades no presenciales.</w:t>
      </w:r>
    </w:p>
    <w:p w14:paraId="46A39AA8" w14:textId="77777777" w:rsidR="00F035FA" w:rsidRPr="00B723F9" w:rsidRDefault="00F035FA" w:rsidP="00F035FA">
      <w:pPr>
        <w:jc w:val="both"/>
        <w:rPr>
          <w:rFonts w:hAnsi="Times New Roman" w:cs="Times New Roman"/>
          <w:color w:val="auto"/>
          <w:u w:color="808080"/>
          <w:lang w:val="es-ES"/>
        </w:rPr>
      </w:pPr>
    </w:p>
    <w:p w14:paraId="3B4350E3" w14:textId="4794C51F" w:rsidR="0084183D"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Los alumnos se comprometen a preparar las clases presenciales a través del programa de lecturas obligatorias para las clases magistrales, y de una selección de </w:t>
      </w:r>
      <w:r w:rsidR="00B723F9">
        <w:rPr>
          <w:rFonts w:hAnsi="Times New Roman" w:cs="Times New Roman"/>
          <w:color w:val="auto"/>
          <w:u w:color="808080"/>
          <w:lang w:val="es-ES"/>
        </w:rPr>
        <w:t>lecturas</w:t>
      </w:r>
      <w:r w:rsidRPr="00B723F9">
        <w:rPr>
          <w:rFonts w:hAnsi="Times New Roman" w:cs="Times New Roman"/>
          <w:color w:val="auto"/>
          <w:u w:color="808080"/>
          <w:lang w:val="es-ES"/>
        </w:rPr>
        <w:t xml:space="preserve"> para las clases prácticas.</w:t>
      </w:r>
    </w:p>
    <w:p w14:paraId="315B017E" w14:textId="66785B40" w:rsidR="00B723F9" w:rsidRDefault="00B723F9" w:rsidP="00F035FA">
      <w:pPr>
        <w:jc w:val="both"/>
        <w:rPr>
          <w:rFonts w:hAnsi="Times New Roman" w:cs="Times New Roman"/>
          <w:color w:val="auto"/>
          <w:u w:color="808080"/>
          <w:lang w:val="es-ES"/>
        </w:rPr>
      </w:pPr>
    </w:p>
    <w:p w14:paraId="32518230" w14:textId="57292E4D" w:rsidR="00B723F9" w:rsidRPr="00B723F9" w:rsidRDefault="00B723F9" w:rsidP="00F035FA">
      <w:pPr>
        <w:jc w:val="both"/>
        <w:rPr>
          <w:rFonts w:hAnsi="Times New Roman" w:cs="Times New Roman"/>
          <w:b/>
          <w:color w:val="auto"/>
          <w:u w:color="808080"/>
          <w:lang w:val="es-ES"/>
        </w:rPr>
      </w:pPr>
      <w:r w:rsidRPr="00B723F9">
        <w:rPr>
          <w:rFonts w:hAnsi="Times New Roman" w:cs="Times New Roman"/>
          <w:b/>
          <w:color w:val="auto"/>
          <w:u w:color="808080"/>
          <w:lang w:val="es-ES"/>
        </w:rPr>
        <w:t>Evaluación</w:t>
      </w:r>
    </w:p>
    <w:p w14:paraId="2082DBF3" w14:textId="77777777" w:rsidR="0084183D" w:rsidRPr="00B723F9" w:rsidRDefault="0084183D" w:rsidP="00E642FF">
      <w:pPr>
        <w:jc w:val="both"/>
        <w:rPr>
          <w:rFonts w:hAnsi="Times New Roman" w:cs="Times New Roman"/>
          <w:color w:val="808080"/>
          <w:u w:color="808080"/>
          <w:lang w:val="es-ES"/>
        </w:rPr>
      </w:pPr>
    </w:p>
    <w:p w14:paraId="277BB2F1"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La asistencia a las clases teóricas, prácticas y seminarios es, en principio, un presupuesto para la evaluación positiva.</w:t>
      </w:r>
    </w:p>
    <w:p w14:paraId="4F8C9ED7" w14:textId="77777777" w:rsidR="00B723F9" w:rsidRPr="00B723F9" w:rsidRDefault="00B723F9" w:rsidP="00B723F9">
      <w:pPr>
        <w:widowControl w:val="0"/>
        <w:jc w:val="both"/>
        <w:rPr>
          <w:rFonts w:hAnsi="Times New Roman" w:cs="Times New Roman"/>
          <w:bCs/>
          <w:lang w:val="es-ES"/>
        </w:rPr>
      </w:pPr>
    </w:p>
    <w:p w14:paraId="60B68F65"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Se valorará la participación activa, y solvente, en las clases teóricas, y prácticas, que acredite simultáneamente el interés y el trabajo del alumno.</w:t>
      </w:r>
    </w:p>
    <w:p w14:paraId="56A8081B" w14:textId="77777777" w:rsidR="00B723F9" w:rsidRPr="00B723F9" w:rsidRDefault="00B723F9" w:rsidP="00B723F9">
      <w:pPr>
        <w:widowControl w:val="0"/>
        <w:jc w:val="both"/>
        <w:rPr>
          <w:rFonts w:hAnsi="Times New Roman" w:cs="Times New Roman"/>
          <w:bCs/>
          <w:lang w:val="es-ES"/>
        </w:rPr>
      </w:pPr>
    </w:p>
    <w:p w14:paraId="074BDBAA" w14:textId="3AA48168"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Dicha participación ayuda</w:t>
      </w:r>
      <w:r>
        <w:rPr>
          <w:rFonts w:hAnsi="Times New Roman" w:cs="Times New Roman"/>
          <w:bCs/>
          <w:lang w:val="es-ES"/>
        </w:rPr>
        <w:t xml:space="preserve">rá a ponderar la nota final de </w:t>
      </w:r>
      <w:r w:rsidRPr="00B723F9">
        <w:rPr>
          <w:rFonts w:hAnsi="Times New Roman" w:cs="Times New Roman"/>
          <w:bCs/>
          <w:lang w:val="es-ES"/>
        </w:rPr>
        <w:t>l</w:t>
      </w:r>
      <w:r>
        <w:rPr>
          <w:rFonts w:hAnsi="Times New Roman" w:cs="Times New Roman"/>
          <w:bCs/>
          <w:lang w:val="es-ES"/>
        </w:rPr>
        <w:t>a</w:t>
      </w:r>
      <w:r w:rsidRPr="00B723F9">
        <w:rPr>
          <w:rFonts w:hAnsi="Times New Roman" w:cs="Times New Roman"/>
          <w:bCs/>
          <w:lang w:val="es-ES"/>
        </w:rPr>
        <w:t xml:space="preserve"> asignatura.</w:t>
      </w:r>
    </w:p>
    <w:p w14:paraId="0436B2CC" w14:textId="77777777" w:rsidR="00B723F9" w:rsidRPr="00B723F9" w:rsidRDefault="00B723F9" w:rsidP="00B723F9">
      <w:pPr>
        <w:widowControl w:val="0"/>
        <w:jc w:val="both"/>
        <w:rPr>
          <w:rFonts w:hAnsi="Times New Roman" w:cs="Times New Roman"/>
          <w:bCs/>
          <w:lang w:val="es-ES"/>
        </w:rPr>
      </w:pPr>
    </w:p>
    <w:p w14:paraId="0FA5A9F2" w14:textId="61BED0B5" w:rsidR="008B7DBA" w:rsidRPr="00B723F9" w:rsidRDefault="00B723F9" w:rsidP="008B7DBA">
      <w:pPr>
        <w:widowControl w:val="0"/>
        <w:jc w:val="both"/>
        <w:rPr>
          <w:rFonts w:hAnsi="Times New Roman" w:cs="Times New Roman"/>
          <w:bCs/>
          <w:lang w:val="es-ES"/>
        </w:rPr>
      </w:pPr>
      <w:r w:rsidRPr="00B723F9">
        <w:rPr>
          <w:rFonts w:hAnsi="Times New Roman" w:cs="Times New Roman"/>
          <w:bCs/>
          <w:lang w:val="es-ES"/>
        </w:rPr>
        <w:t xml:space="preserve">La parte más importante de la calificación final se derivará de la elaboración de un “trabajo de asignatura”, que consistirá en una reflexión crítica, sobre algunos de los temas que se han abordado </w:t>
      </w:r>
      <w:r w:rsidRPr="00B723F9">
        <w:rPr>
          <w:rFonts w:hAnsi="Times New Roman" w:cs="Times New Roman"/>
          <w:bCs/>
          <w:lang w:val="es-ES"/>
        </w:rPr>
        <w:lastRenderedPageBreak/>
        <w:t>en ella, con una extensión de entre veinte y treinta folios, a espacio y med</w:t>
      </w:r>
      <w:r w:rsidR="008B7DBA">
        <w:rPr>
          <w:rFonts w:hAnsi="Times New Roman" w:cs="Times New Roman"/>
          <w:bCs/>
          <w:lang w:val="es-ES"/>
        </w:rPr>
        <w:t xml:space="preserve">io, en letra times new </w:t>
      </w:r>
      <w:proofErr w:type="spellStart"/>
      <w:r w:rsidR="008B7DBA">
        <w:rPr>
          <w:rFonts w:hAnsi="Times New Roman" w:cs="Times New Roman"/>
          <w:bCs/>
          <w:lang w:val="es-ES"/>
        </w:rPr>
        <w:t>roman</w:t>
      </w:r>
      <w:proofErr w:type="spellEnd"/>
      <w:r w:rsidR="008B7DBA">
        <w:rPr>
          <w:rFonts w:hAnsi="Times New Roman" w:cs="Times New Roman"/>
          <w:bCs/>
          <w:lang w:val="es-ES"/>
        </w:rPr>
        <w:t xml:space="preserve"> 12.</w:t>
      </w:r>
    </w:p>
    <w:p w14:paraId="63E285C2" w14:textId="77777777" w:rsidR="00B723F9" w:rsidRPr="00B723F9" w:rsidRDefault="00B723F9" w:rsidP="00B723F9">
      <w:pPr>
        <w:widowControl w:val="0"/>
        <w:jc w:val="both"/>
        <w:rPr>
          <w:rFonts w:hAnsi="Times New Roman" w:cs="Times New Roman"/>
          <w:bCs/>
          <w:lang w:val="es-ES"/>
        </w:rPr>
      </w:pPr>
    </w:p>
    <w:p w14:paraId="7DC2D4A7" w14:textId="456AEA52" w:rsidR="003561C2" w:rsidRPr="00B723F9" w:rsidRDefault="00B723F9" w:rsidP="00B723F9">
      <w:pPr>
        <w:widowControl w:val="0"/>
        <w:jc w:val="both"/>
        <w:rPr>
          <w:rFonts w:hAnsi="Times New Roman" w:cs="Times New Roman"/>
          <w:bCs/>
          <w:lang w:val="es-ES"/>
        </w:rPr>
      </w:pPr>
      <w:r w:rsidRPr="00B723F9">
        <w:rPr>
          <w:rFonts w:hAnsi="Times New Roman" w:cs="Times New Roman"/>
          <w:bCs/>
          <w:lang w:val="es-ES"/>
        </w:rPr>
        <w:t xml:space="preserve">Antes de elegir el tema a tratar en el “trabajo de asignatura”, los alumnos deberán entrevistarse con el </w:t>
      </w:r>
      <w:r>
        <w:rPr>
          <w:rFonts w:hAnsi="Times New Roman" w:cs="Times New Roman"/>
          <w:bCs/>
          <w:lang w:val="es-ES"/>
        </w:rPr>
        <w:t>coordinador</w:t>
      </w:r>
      <w:r w:rsidRPr="00B723F9">
        <w:rPr>
          <w:rFonts w:hAnsi="Times New Roman" w:cs="Times New Roman"/>
          <w:bCs/>
          <w:lang w:val="es-ES"/>
        </w:rPr>
        <w:t>, para ser orientados respecto a los posibles contenidos, la bibliografía pertinente, etc.</w:t>
      </w:r>
    </w:p>
    <w:p w14:paraId="191E1BF3" w14:textId="77777777" w:rsidR="00F035FA" w:rsidRDefault="00F035FA" w:rsidP="00F035FA">
      <w:pPr>
        <w:jc w:val="both"/>
        <w:rPr>
          <w:rFonts w:hAnsi="Times New Roman" w:cs="Times New Roman"/>
          <w:color w:val="808080"/>
          <w:u w:color="808080"/>
          <w:lang w:val="en-US"/>
        </w:rPr>
      </w:pPr>
    </w:p>
    <w:p w14:paraId="67B6D130" w14:textId="79062EBE" w:rsidR="003561C2" w:rsidRPr="00F035FA" w:rsidRDefault="00F035FA" w:rsidP="00F035FA">
      <w:pPr>
        <w:spacing w:after="240"/>
        <w:jc w:val="both"/>
        <w:rPr>
          <w:rFonts w:hAnsi="Times New Roman" w:cs="Times New Roman"/>
          <w:b/>
          <w:lang w:val="es-ES_tradnl"/>
        </w:rPr>
      </w:pPr>
      <w:r w:rsidRPr="00F035FA">
        <w:rPr>
          <w:rFonts w:hAnsi="Times New Roman" w:cs="Times New Roman"/>
          <w:b/>
          <w:lang w:val="es-ES_tradnl"/>
        </w:rPr>
        <w:t>Bibliografía básica</w:t>
      </w:r>
    </w:p>
    <w:p w14:paraId="15A817CD" w14:textId="77777777" w:rsidR="00B60B63" w:rsidRPr="008A2202" w:rsidRDefault="00B60B63" w:rsidP="008B239D">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8A2202">
        <w:rPr>
          <w:lang w:val="en-GB"/>
        </w:rPr>
        <w:t xml:space="preserve">Craig, Paul and De </w:t>
      </w:r>
      <w:proofErr w:type="spellStart"/>
      <w:r w:rsidRPr="008A2202">
        <w:rPr>
          <w:lang w:val="en-GB"/>
        </w:rPr>
        <w:t>B</w:t>
      </w:r>
      <w:r w:rsidRPr="008A2202">
        <w:rPr>
          <w:lang w:val="en-GB"/>
        </w:rPr>
        <w:t>ú</w:t>
      </w:r>
      <w:r w:rsidRPr="008A2202">
        <w:rPr>
          <w:lang w:val="en-GB"/>
        </w:rPr>
        <w:t>rca</w:t>
      </w:r>
      <w:proofErr w:type="spellEnd"/>
      <w:r w:rsidRPr="008A2202">
        <w:rPr>
          <w:lang w:val="en-GB"/>
        </w:rPr>
        <w:t xml:space="preserve">, </w:t>
      </w:r>
      <w:proofErr w:type="spellStart"/>
      <w:r w:rsidRPr="008A2202">
        <w:rPr>
          <w:lang w:val="en-GB"/>
        </w:rPr>
        <w:t>Gr</w:t>
      </w:r>
      <w:r w:rsidRPr="008A2202">
        <w:rPr>
          <w:lang w:val="en-GB"/>
        </w:rPr>
        <w:t>á</w:t>
      </w:r>
      <w:r w:rsidRPr="008A2202">
        <w:rPr>
          <w:lang w:val="en-GB"/>
        </w:rPr>
        <w:t>inne</w:t>
      </w:r>
      <w:proofErr w:type="spellEnd"/>
      <w:r w:rsidRPr="008A2202">
        <w:rPr>
          <w:lang w:val="en-GB"/>
        </w:rPr>
        <w:t xml:space="preserve">, </w:t>
      </w:r>
      <w:r w:rsidRPr="008A2202">
        <w:rPr>
          <w:i/>
          <w:lang w:val="en-GB"/>
        </w:rPr>
        <w:t>EU Law: Text, Cases and Materials</w:t>
      </w:r>
      <w:r w:rsidRPr="008A2202">
        <w:rPr>
          <w:lang w:val="en-GB"/>
        </w:rPr>
        <w:t>, Oxford, 2015.</w:t>
      </w:r>
      <w:r>
        <w:rPr>
          <w:lang w:val="en-GB"/>
        </w:rPr>
        <w:t xml:space="preserve"> Pp. 124 </w:t>
      </w:r>
      <w:r>
        <w:rPr>
          <w:lang w:val="en-GB"/>
        </w:rPr>
        <w:t>–</w:t>
      </w:r>
      <w:r>
        <w:rPr>
          <w:lang w:val="en-GB"/>
        </w:rPr>
        <w:t xml:space="preserve"> 183.</w:t>
      </w:r>
    </w:p>
    <w:p w14:paraId="6CA5DCD3" w14:textId="77777777" w:rsidR="00B60B63" w:rsidRDefault="00B60B63" w:rsidP="008B239D">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Pr>
          <w:lang w:val="en-US"/>
        </w:rPr>
        <w:t xml:space="preserve">Best, E.: </w:t>
      </w:r>
      <w:r>
        <w:rPr>
          <w:lang w:val="en-US"/>
        </w:rPr>
        <w:t>“</w:t>
      </w:r>
      <w:r>
        <w:rPr>
          <w:lang w:val="en-US"/>
        </w:rPr>
        <w:t>L</w:t>
      </w:r>
      <w:r w:rsidRPr="008A2202">
        <w:rPr>
          <w:lang w:val="en-US"/>
        </w:rPr>
        <w:t>egislative procedures after Lisbon: fewer, simpler, clearer?</w:t>
      </w:r>
      <w:r>
        <w:rPr>
          <w:lang w:val="en-US"/>
        </w:rPr>
        <w:t>”</w:t>
      </w:r>
      <w:r>
        <w:rPr>
          <w:lang w:val="en-US"/>
        </w:rPr>
        <w:t xml:space="preserve"> </w:t>
      </w:r>
      <w:r w:rsidRPr="008A2202">
        <w:rPr>
          <w:lang w:val="en-US"/>
        </w:rPr>
        <w:t>15 Maastricht J. Eur. &amp; Comp. L. 85 2008</w:t>
      </w:r>
    </w:p>
    <w:p w14:paraId="32158430" w14:textId="1782CF8D" w:rsidR="00B60B63" w:rsidRDefault="00B60B63" w:rsidP="008B239D">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roofErr w:type="spellStart"/>
      <w:r>
        <w:rPr>
          <w:lang w:val="en-US"/>
        </w:rPr>
        <w:t>Kiiver</w:t>
      </w:r>
      <w:proofErr w:type="spellEnd"/>
      <w:r>
        <w:rPr>
          <w:lang w:val="en-US"/>
        </w:rPr>
        <w:t xml:space="preserve">, Ph.: </w:t>
      </w:r>
      <w:r>
        <w:rPr>
          <w:lang w:val="en-US"/>
        </w:rPr>
        <w:t>“</w:t>
      </w:r>
      <w:r>
        <w:rPr>
          <w:lang w:val="en-US"/>
        </w:rPr>
        <w:t>The Treaty of Lisbon, the National Parliaments and the principle of subsidiarity</w:t>
      </w:r>
      <w:r>
        <w:rPr>
          <w:lang w:val="en-US"/>
        </w:rPr>
        <w:t>”</w:t>
      </w:r>
      <w:r>
        <w:rPr>
          <w:lang w:val="en-US"/>
        </w:rPr>
        <w:t xml:space="preserve">, 15 Maastricht </w:t>
      </w:r>
      <w:r w:rsidRPr="008A2202">
        <w:rPr>
          <w:lang w:val="en-US"/>
        </w:rPr>
        <w:t>J. Eur. &amp; Comp. L.</w:t>
      </w:r>
      <w:r>
        <w:rPr>
          <w:lang w:val="en-US"/>
        </w:rPr>
        <w:t xml:space="preserve"> 77 2008.</w:t>
      </w:r>
    </w:p>
    <w:p w14:paraId="57D7869C" w14:textId="77777777" w:rsidR="00B60B63" w:rsidRPr="001A614B" w:rsidRDefault="00B60B63" w:rsidP="008B23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1A614B">
        <w:rPr>
          <w:lang w:val="en-US"/>
        </w:rPr>
        <w:t>Chalmers,</w:t>
      </w:r>
      <w:r>
        <w:rPr>
          <w:lang w:val="en-US"/>
        </w:rPr>
        <w:t xml:space="preserve"> </w:t>
      </w:r>
      <w:r w:rsidRPr="001A614B">
        <w:rPr>
          <w:lang w:val="en-US"/>
        </w:rPr>
        <w:t>Damian</w:t>
      </w:r>
      <w:r>
        <w:rPr>
          <w:lang w:val="en-US"/>
        </w:rPr>
        <w:t>;</w:t>
      </w:r>
      <w:r w:rsidRPr="001A614B">
        <w:rPr>
          <w:lang w:val="en-US"/>
        </w:rPr>
        <w:t xml:space="preserve"> Davies, Gareth</w:t>
      </w:r>
      <w:r>
        <w:rPr>
          <w:lang w:val="en-US"/>
        </w:rPr>
        <w:t>;</w:t>
      </w:r>
      <w:r w:rsidRPr="001A614B">
        <w:rPr>
          <w:lang w:val="en-US"/>
        </w:rPr>
        <w:t xml:space="preserve"> Monti</w:t>
      </w:r>
      <w:r>
        <w:rPr>
          <w:lang w:val="en-US"/>
        </w:rPr>
        <w:t xml:space="preserve">, </w:t>
      </w:r>
      <w:r w:rsidRPr="001A614B">
        <w:rPr>
          <w:lang w:val="en-US"/>
        </w:rPr>
        <w:t>Giorgio</w:t>
      </w:r>
      <w:r>
        <w:rPr>
          <w:lang w:val="en-US"/>
        </w:rPr>
        <w:t>:</w:t>
      </w:r>
      <w:r w:rsidRPr="001A614B">
        <w:rPr>
          <w:lang w:val="en-US"/>
        </w:rPr>
        <w:t xml:space="preserve"> </w:t>
      </w:r>
      <w:r w:rsidRPr="001A614B">
        <w:rPr>
          <w:i/>
          <w:lang w:val="en-US"/>
        </w:rPr>
        <w:t>European Union Law: Text and Materials</w:t>
      </w:r>
      <w:r>
        <w:rPr>
          <w:lang w:val="en-US"/>
        </w:rPr>
        <w:t>, Cambridge University Press, 2014.</w:t>
      </w:r>
    </w:p>
    <w:p w14:paraId="0253F9F9" w14:textId="77777777" w:rsidR="00B60B63" w:rsidRDefault="00B60B63" w:rsidP="008B23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proofErr w:type="spellStart"/>
      <w:r>
        <w:rPr>
          <w:lang w:val="en-GB"/>
        </w:rPr>
        <w:t>Hosli</w:t>
      </w:r>
      <w:proofErr w:type="spellEnd"/>
      <w:r>
        <w:rPr>
          <w:lang w:val="en-GB"/>
        </w:rPr>
        <w:t xml:space="preserve">, Madeleine [et. al], </w:t>
      </w:r>
      <w:r w:rsidRPr="008C2986">
        <w:rPr>
          <w:i/>
          <w:lang w:val="en-GB"/>
        </w:rPr>
        <w:t>Decision-making</w:t>
      </w:r>
      <w:r w:rsidRPr="008C2986">
        <w:rPr>
          <w:i/>
          <w:lang w:val="en-GB"/>
        </w:rPr>
        <w:t> </w:t>
      </w:r>
      <w:r w:rsidRPr="008C2986">
        <w:rPr>
          <w:i/>
          <w:lang w:val="en-GB"/>
        </w:rPr>
        <w:t>in the EU before and after the Lisbon Treaty</w:t>
      </w:r>
      <w:r>
        <w:rPr>
          <w:i/>
          <w:lang w:val="en-GB"/>
        </w:rPr>
        <w:t>.</w:t>
      </w:r>
      <w:r w:rsidRPr="008C2986">
        <w:rPr>
          <w:lang w:val="en-GB"/>
        </w:rPr>
        <w:t xml:space="preserve"> London; New York: Routledge, 2015</w:t>
      </w:r>
      <w:r>
        <w:rPr>
          <w:lang w:val="en-GB"/>
        </w:rPr>
        <w:t>.</w:t>
      </w:r>
    </w:p>
    <w:p w14:paraId="053DCEB6" w14:textId="77777777" w:rsidR="00B60B63" w:rsidRDefault="00B60B63" w:rsidP="008B23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lang w:val="es-ES" w:eastAsia="es-ES"/>
        </w:rPr>
      </w:pPr>
      <w:hyperlink r:id="rId7" w:history="1">
        <w:r>
          <w:rPr>
            <w:rStyle w:val="Hipervnculo"/>
          </w:rPr>
          <w:t>http://eur-lex.europa.eu/legal-content/EN/TXT/PDF/?uri=CELEX:52001DC0428&amp;from=EN</w:t>
        </w:r>
      </w:hyperlink>
      <w:r>
        <w:t> </w:t>
      </w:r>
    </w:p>
    <w:p w14:paraId="10611AF5" w14:textId="77777777" w:rsidR="00B60B63" w:rsidRDefault="00B60B63" w:rsidP="00B60B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lang w:val="en-US"/>
        </w:rPr>
      </w:pPr>
    </w:p>
    <w:p w14:paraId="4B27FBF2" w14:textId="77777777" w:rsidR="00C8514E" w:rsidRDefault="00C8514E" w:rsidP="008B7DBA">
      <w:pPr>
        <w:jc w:val="both"/>
        <w:rPr>
          <w:rFonts w:hAnsi="Times New Roman" w:cs="Times New Roman"/>
          <w:b/>
          <w:bCs/>
          <w:lang w:val="es-ES"/>
        </w:rPr>
      </w:pPr>
    </w:p>
    <w:p w14:paraId="7A9AEB69" w14:textId="6802B6B4" w:rsidR="008B7DBA" w:rsidRPr="00F035FA" w:rsidRDefault="008B7DBA" w:rsidP="008B7DBA">
      <w:pPr>
        <w:jc w:val="both"/>
        <w:rPr>
          <w:rFonts w:hAnsi="Times New Roman" w:cs="Times New Roman"/>
          <w:b/>
          <w:bCs/>
          <w:lang w:val="es-ES"/>
        </w:rPr>
      </w:pPr>
      <w:r w:rsidRPr="00F035FA">
        <w:rPr>
          <w:rFonts w:hAnsi="Times New Roman" w:cs="Times New Roman"/>
          <w:b/>
          <w:bCs/>
          <w:lang w:val="es-ES"/>
        </w:rPr>
        <w:t>Bibliografía complementaria</w:t>
      </w:r>
    </w:p>
    <w:p w14:paraId="39AB8AB7" w14:textId="1010C908" w:rsidR="008B7DBA" w:rsidRDefault="008B7DBA" w:rsidP="008B7DBA">
      <w:pPr>
        <w:widowControl w:val="0"/>
        <w:ind w:left="720"/>
        <w:jc w:val="both"/>
        <w:rPr>
          <w:rFonts w:hAnsi="Times New Roman" w:cs="Times New Roman"/>
          <w:b/>
          <w:lang w:val="es-ES"/>
        </w:rPr>
      </w:pPr>
    </w:p>
    <w:p w14:paraId="47FDEE49" w14:textId="1E095792" w:rsidR="00B60B63" w:rsidRPr="0027724D" w:rsidRDefault="00B60B63" w:rsidP="008B23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lang w:val="en-US"/>
        </w:rPr>
      </w:pPr>
      <w:proofErr w:type="spellStart"/>
      <w:r>
        <w:rPr>
          <w:b/>
          <w:lang w:val="en-US"/>
        </w:rPr>
        <w:t>Procedimiento</w:t>
      </w:r>
      <w:proofErr w:type="spellEnd"/>
      <w:r>
        <w:rPr>
          <w:b/>
          <w:lang w:val="en-US"/>
        </w:rPr>
        <w:t xml:space="preserve"> legislative </w:t>
      </w:r>
      <w:proofErr w:type="spellStart"/>
      <w:r>
        <w:rPr>
          <w:b/>
          <w:lang w:val="en-US"/>
        </w:rPr>
        <w:t>ordinario</w:t>
      </w:r>
      <w:proofErr w:type="spellEnd"/>
      <w:r>
        <w:rPr>
          <w:b/>
          <w:lang w:val="en-US"/>
        </w:rPr>
        <w:t xml:space="preserve">: </w:t>
      </w:r>
      <w:proofErr w:type="spellStart"/>
      <w:r>
        <w:rPr>
          <w:b/>
          <w:lang w:val="en-US"/>
        </w:rPr>
        <w:t>etapas</w:t>
      </w:r>
      <w:proofErr w:type="spellEnd"/>
      <w:r>
        <w:rPr>
          <w:b/>
          <w:lang w:val="en-US"/>
        </w:rPr>
        <w:t xml:space="preserve"> y </w:t>
      </w:r>
      <w:proofErr w:type="spellStart"/>
      <w:r>
        <w:rPr>
          <w:b/>
          <w:lang w:val="en-US"/>
        </w:rPr>
        <w:t>funcionamiento</w:t>
      </w:r>
      <w:proofErr w:type="spellEnd"/>
      <w:r>
        <w:rPr>
          <w:b/>
          <w:lang w:val="en-US"/>
        </w:rPr>
        <w:t xml:space="preserve"> </w:t>
      </w:r>
      <w:proofErr w:type="spellStart"/>
      <w:r>
        <w:rPr>
          <w:b/>
          <w:lang w:val="en-US"/>
        </w:rPr>
        <w:t>en</w:t>
      </w:r>
      <w:proofErr w:type="spellEnd"/>
      <w:r>
        <w:rPr>
          <w:b/>
          <w:lang w:val="en-US"/>
        </w:rPr>
        <w:t xml:space="preserve"> la </w:t>
      </w:r>
      <w:proofErr w:type="spellStart"/>
      <w:r>
        <w:rPr>
          <w:b/>
          <w:lang w:val="en-US"/>
        </w:rPr>
        <w:t>pr</w:t>
      </w:r>
      <w:r>
        <w:rPr>
          <w:b/>
          <w:lang w:val="en-US"/>
        </w:rPr>
        <w:t>á</w:t>
      </w:r>
      <w:r>
        <w:rPr>
          <w:b/>
          <w:lang w:val="en-US"/>
        </w:rPr>
        <w:t>ctica</w:t>
      </w:r>
      <w:proofErr w:type="spellEnd"/>
    </w:p>
    <w:p w14:paraId="73AB3CFC" w14:textId="77777777" w:rsidR="00B60B63" w:rsidRPr="0027724D" w:rsidRDefault="00B60B63" w:rsidP="00B60B63">
      <w:pPr>
        <w:rPr>
          <w:lang w:val="en-US"/>
        </w:rPr>
      </w:pPr>
    </w:p>
    <w:p w14:paraId="0B4F80EB" w14:textId="77777777" w:rsidR="00B60B63" w:rsidRPr="008A2202" w:rsidRDefault="00B60B63" w:rsidP="008B239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1134"/>
        <w:rPr>
          <w:lang w:val="en-US"/>
        </w:rPr>
      </w:pPr>
      <w:r w:rsidRPr="008A2202">
        <w:rPr>
          <w:lang w:val="en-US"/>
        </w:rPr>
        <w:t xml:space="preserve">Rasmussen, Anne; Burns, Charlotte; </w:t>
      </w:r>
      <w:proofErr w:type="spellStart"/>
      <w:r w:rsidRPr="008A2202">
        <w:rPr>
          <w:lang w:val="en-US"/>
        </w:rPr>
        <w:t>Reh</w:t>
      </w:r>
      <w:proofErr w:type="spellEnd"/>
      <w:r w:rsidRPr="008A2202">
        <w:rPr>
          <w:lang w:val="en-US"/>
        </w:rPr>
        <w:t xml:space="preserve">, Christine: Legislative </w:t>
      </w:r>
      <w:proofErr w:type="spellStart"/>
      <w:r w:rsidRPr="008A2202">
        <w:rPr>
          <w:lang w:val="en-US"/>
        </w:rPr>
        <w:t>codecision</w:t>
      </w:r>
      <w:proofErr w:type="spellEnd"/>
      <w:r w:rsidRPr="008A2202">
        <w:rPr>
          <w:lang w:val="en-US"/>
        </w:rPr>
        <w:t xml:space="preserve"> in the European Union: experience over twenty years and implications, Journal of European Public Policy Series, 2014, 1st. ed. </w:t>
      </w:r>
    </w:p>
    <w:p w14:paraId="0411641B" w14:textId="77777777" w:rsidR="00B60B63" w:rsidRPr="008A2202" w:rsidRDefault="00B60B63" w:rsidP="008B239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1134"/>
        <w:jc w:val="both"/>
        <w:rPr>
          <w:lang w:val="en-US"/>
        </w:rPr>
      </w:pPr>
      <w:r w:rsidRPr="008A2202">
        <w:rPr>
          <w:lang w:val="en-US"/>
        </w:rPr>
        <w:t>General Secretariat of the Council, Guide to the ordinary legislative procedure, November 2011.</w:t>
      </w:r>
    </w:p>
    <w:p w14:paraId="2A3A2425" w14:textId="77777777" w:rsidR="00B60B63" w:rsidRPr="008A2202" w:rsidRDefault="00B60B63" w:rsidP="008B239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1134"/>
        <w:jc w:val="both"/>
        <w:rPr>
          <w:lang w:val="en-US"/>
        </w:rPr>
      </w:pPr>
      <w:r w:rsidRPr="008A2202">
        <w:rPr>
          <w:lang w:val="en-US"/>
        </w:rPr>
        <w:t xml:space="preserve">Joint Declaration of the European Parliament, the Council and the Commission of 13 June 2007 on practical arrangements for the </w:t>
      </w:r>
      <w:proofErr w:type="spellStart"/>
      <w:r w:rsidRPr="008A2202">
        <w:rPr>
          <w:lang w:val="en-US"/>
        </w:rPr>
        <w:t>codecision</w:t>
      </w:r>
      <w:proofErr w:type="spellEnd"/>
      <w:r w:rsidRPr="008A2202">
        <w:rPr>
          <w:lang w:val="en-US"/>
        </w:rPr>
        <w:t xml:space="preserve"> procedure (Article 251 of the EC Treaty) / European Parliament Rules of Procedure, Annex XX of the Rules of Procedure, published also in the Official Journal, OJ C 145, 30.6.2007, p. 5.</w:t>
      </w:r>
    </w:p>
    <w:p w14:paraId="13896C19" w14:textId="77777777" w:rsidR="00B60B63" w:rsidRPr="0027724D" w:rsidRDefault="00B60B63" w:rsidP="008B239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1134"/>
        <w:jc w:val="both"/>
        <w:rPr>
          <w:lang w:val="es-ES"/>
        </w:rPr>
      </w:pPr>
      <w:r w:rsidRPr="001A614B">
        <w:rPr>
          <w:lang w:val="es-ES"/>
        </w:rPr>
        <w:t>Mart</w:t>
      </w:r>
      <w:r w:rsidRPr="001A614B">
        <w:rPr>
          <w:lang w:val="es-ES"/>
        </w:rPr>
        <w:t>í</w:t>
      </w:r>
      <w:r w:rsidRPr="001A614B">
        <w:rPr>
          <w:lang w:val="es-ES"/>
        </w:rPr>
        <w:t>nez Sierra, Jos</w:t>
      </w:r>
      <w:r w:rsidRPr="001A614B">
        <w:rPr>
          <w:lang w:val="es-ES"/>
        </w:rPr>
        <w:t>é</w:t>
      </w:r>
      <w:r w:rsidRPr="001A614B">
        <w:rPr>
          <w:lang w:val="es-ES"/>
        </w:rPr>
        <w:t xml:space="preserve"> Manuel: </w:t>
      </w:r>
      <w:r w:rsidRPr="001A614B">
        <w:rPr>
          <w:i/>
          <w:lang w:val="es-ES"/>
        </w:rPr>
        <w:t>El procedimiento legislativ</w:t>
      </w:r>
      <w:r>
        <w:rPr>
          <w:i/>
          <w:lang w:val="es-ES"/>
        </w:rPr>
        <w:t>o</w:t>
      </w:r>
      <w:r w:rsidRPr="001A614B">
        <w:rPr>
          <w:i/>
          <w:lang w:val="es-ES"/>
        </w:rPr>
        <w:t xml:space="preserve"> de la codecisi</w:t>
      </w:r>
      <w:r w:rsidRPr="001A614B">
        <w:rPr>
          <w:i/>
          <w:lang w:val="es-ES"/>
        </w:rPr>
        <w:t>ó</w:t>
      </w:r>
      <w:r w:rsidRPr="001A614B">
        <w:rPr>
          <w:i/>
          <w:lang w:val="es-ES"/>
        </w:rPr>
        <w:t>n</w:t>
      </w:r>
      <w:r>
        <w:rPr>
          <w:lang w:val="es-ES"/>
        </w:rPr>
        <w:t>, Tirant lo Blanch, 2008.</w:t>
      </w:r>
    </w:p>
    <w:p w14:paraId="1A04A798" w14:textId="77777777" w:rsidR="00B60B63" w:rsidRPr="0027724D" w:rsidRDefault="00B60B63" w:rsidP="00B60B63">
      <w:pPr>
        <w:rPr>
          <w:lang w:val="es-ES"/>
        </w:rPr>
      </w:pPr>
      <w:r w:rsidRPr="0027724D">
        <w:rPr>
          <w:lang w:val="es-ES"/>
        </w:rPr>
        <w:t xml:space="preserve"> </w:t>
      </w:r>
    </w:p>
    <w:p w14:paraId="3F9E21A6" w14:textId="612094B9" w:rsidR="00B60B63" w:rsidRPr="0027724D" w:rsidRDefault="00B60B63" w:rsidP="008B23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lang w:val="en-US"/>
        </w:rPr>
      </w:pPr>
      <w:proofErr w:type="spellStart"/>
      <w:r>
        <w:rPr>
          <w:b/>
          <w:lang w:val="en-US"/>
        </w:rPr>
        <w:t>Otros</w:t>
      </w:r>
      <w:proofErr w:type="spellEnd"/>
      <w:r>
        <w:rPr>
          <w:b/>
          <w:lang w:val="en-US"/>
        </w:rPr>
        <w:t xml:space="preserve"> </w:t>
      </w:r>
      <w:proofErr w:type="spellStart"/>
      <w:r>
        <w:rPr>
          <w:b/>
          <w:lang w:val="en-US"/>
        </w:rPr>
        <w:t>procedimientos</w:t>
      </w:r>
      <w:proofErr w:type="spellEnd"/>
      <w:r>
        <w:rPr>
          <w:b/>
          <w:lang w:val="en-US"/>
        </w:rPr>
        <w:t xml:space="preserve"> de </w:t>
      </w:r>
      <w:proofErr w:type="spellStart"/>
      <w:r>
        <w:rPr>
          <w:b/>
          <w:lang w:val="en-US"/>
        </w:rPr>
        <w:t>adopci</w:t>
      </w:r>
      <w:r>
        <w:rPr>
          <w:b/>
          <w:lang w:val="en-US"/>
        </w:rPr>
        <w:t>ó</w:t>
      </w:r>
      <w:r>
        <w:rPr>
          <w:b/>
          <w:lang w:val="en-US"/>
        </w:rPr>
        <w:t>n</w:t>
      </w:r>
      <w:proofErr w:type="spellEnd"/>
      <w:r>
        <w:rPr>
          <w:b/>
          <w:lang w:val="en-US"/>
        </w:rPr>
        <w:t xml:space="preserve"> de </w:t>
      </w:r>
      <w:proofErr w:type="spellStart"/>
      <w:r>
        <w:rPr>
          <w:b/>
          <w:lang w:val="en-US"/>
        </w:rPr>
        <w:t>decisiones</w:t>
      </w:r>
      <w:proofErr w:type="spellEnd"/>
    </w:p>
    <w:p w14:paraId="307DB652" w14:textId="77777777" w:rsidR="00B60B63" w:rsidRPr="0027724D" w:rsidRDefault="00B60B63" w:rsidP="00B60B63">
      <w:pPr>
        <w:rPr>
          <w:lang w:val="en-US"/>
        </w:rPr>
      </w:pPr>
    </w:p>
    <w:p w14:paraId="61C83989" w14:textId="77777777" w:rsidR="00B60B63" w:rsidRPr="0027724D" w:rsidRDefault="00B60B63" w:rsidP="008B23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134"/>
        <w:rPr>
          <w:lang w:val="en-US"/>
        </w:rPr>
      </w:pPr>
      <w:r w:rsidRPr="0027724D">
        <w:rPr>
          <w:lang w:val="en-US"/>
        </w:rPr>
        <w:t xml:space="preserve">Damian </w:t>
      </w:r>
      <w:proofErr w:type="spellStart"/>
      <w:r w:rsidRPr="0027724D">
        <w:rPr>
          <w:lang w:val="en-US"/>
        </w:rPr>
        <w:t>Chalmers,Gareth</w:t>
      </w:r>
      <w:proofErr w:type="spellEnd"/>
      <w:r w:rsidRPr="0027724D">
        <w:rPr>
          <w:lang w:val="en-US"/>
        </w:rPr>
        <w:t xml:space="preserve"> </w:t>
      </w:r>
      <w:proofErr w:type="spellStart"/>
      <w:r w:rsidRPr="0027724D">
        <w:rPr>
          <w:lang w:val="en-US"/>
        </w:rPr>
        <w:t>Davies,Giorgio</w:t>
      </w:r>
      <w:proofErr w:type="spellEnd"/>
      <w:r w:rsidRPr="0027724D">
        <w:rPr>
          <w:lang w:val="en-US"/>
        </w:rPr>
        <w:t xml:space="preserve"> Monti, European Union Law: Text and Materials, Cambridge University Press, 2014.</w:t>
      </w:r>
    </w:p>
    <w:p w14:paraId="59541D20" w14:textId="77777777" w:rsidR="00B60B63" w:rsidRPr="0027724D" w:rsidRDefault="00B60B63" w:rsidP="008B23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134"/>
        <w:rPr>
          <w:lang w:val="en-US"/>
        </w:rPr>
      </w:pPr>
      <w:proofErr w:type="spellStart"/>
      <w:r w:rsidRPr="0027724D">
        <w:rPr>
          <w:lang w:val="en-US"/>
        </w:rPr>
        <w:t>Tuytschaeuer</w:t>
      </w:r>
      <w:proofErr w:type="spellEnd"/>
      <w:r w:rsidRPr="0027724D">
        <w:rPr>
          <w:lang w:val="en-US"/>
        </w:rPr>
        <w:t xml:space="preserve">, Filip: Differentiation in European Union law, </w:t>
      </w:r>
      <w:proofErr w:type="spellStart"/>
      <w:r w:rsidRPr="0027724D">
        <w:rPr>
          <w:lang w:val="en-US"/>
        </w:rPr>
        <w:t>Oxford,Portland</w:t>
      </w:r>
      <w:proofErr w:type="spellEnd"/>
      <w:r w:rsidRPr="0027724D">
        <w:rPr>
          <w:lang w:val="en-US"/>
        </w:rPr>
        <w:t>: Hart, 1999.</w:t>
      </w:r>
    </w:p>
    <w:p w14:paraId="0AEE4519" w14:textId="77777777" w:rsidR="00B60B63" w:rsidRPr="0027724D" w:rsidRDefault="00B60B63" w:rsidP="00B60B63">
      <w:pPr>
        <w:rPr>
          <w:lang w:val="en-US"/>
        </w:rPr>
      </w:pPr>
    </w:p>
    <w:p w14:paraId="71DD75D8" w14:textId="6CE33D0A" w:rsidR="00B60B63" w:rsidRPr="0027724D" w:rsidRDefault="00B60B63" w:rsidP="008B23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lang w:val="en-US"/>
        </w:rPr>
      </w:pPr>
      <w:r>
        <w:rPr>
          <w:b/>
          <w:lang w:val="en-US"/>
        </w:rPr>
        <w:lastRenderedPageBreak/>
        <w:t xml:space="preserve">El </w:t>
      </w:r>
      <w:proofErr w:type="spellStart"/>
      <w:r>
        <w:rPr>
          <w:b/>
          <w:lang w:val="en-US"/>
        </w:rPr>
        <w:t>papel</w:t>
      </w:r>
      <w:proofErr w:type="spellEnd"/>
      <w:r>
        <w:rPr>
          <w:b/>
          <w:lang w:val="en-US"/>
        </w:rPr>
        <w:t xml:space="preserve"> de </w:t>
      </w:r>
      <w:proofErr w:type="spellStart"/>
      <w:r>
        <w:rPr>
          <w:b/>
          <w:lang w:val="en-US"/>
        </w:rPr>
        <w:t>los</w:t>
      </w:r>
      <w:proofErr w:type="spellEnd"/>
      <w:r>
        <w:rPr>
          <w:b/>
          <w:lang w:val="en-US"/>
        </w:rPr>
        <w:t xml:space="preserve"> </w:t>
      </w:r>
      <w:proofErr w:type="spellStart"/>
      <w:r>
        <w:rPr>
          <w:b/>
          <w:lang w:val="en-US"/>
        </w:rPr>
        <w:t>parlamentos</w:t>
      </w:r>
      <w:proofErr w:type="spellEnd"/>
      <w:r>
        <w:rPr>
          <w:b/>
          <w:lang w:val="en-US"/>
        </w:rPr>
        <w:t xml:space="preserve"> </w:t>
      </w:r>
      <w:proofErr w:type="spellStart"/>
      <w:r>
        <w:rPr>
          <w:b/>
          <w:lang w:val="en-US"/>
        </w:rPr>
        <w:t>nacionales</w:t>
      </w:r>
      <w:proofErr w:type="spellEnd"/>
      <w:r>
        <w:rPr>
          <w:b/>
          <w:lang w:val="en-US"/>
        </w:rPr>
        <w:t xml:space="preserve"> </w:t>
      </w:r>
      <w:proofErr w:type="spellStart"/>
      <w:r>
        <w:rPr>
          <w:b/>
          <w:lang w:val="en-US"/>
        </w:rPr>
        <w:t>en</w:t>
      </w:r>
      <w:proofErr w:type="spellEnd"/>
      <w:r>
        <w:rPr>
          <w:b/>
          <w:lang w:val="en-US"/>
        </w:rPr>
        <w:t xml:space="preserve"> el </w:t>
      </w:r>
      <w:proofErr w:type="spellStart"/>
      <w:r>
        <w:rPr>
          <w:b/>
          <w:lang w:val="en-US"/>
        </w:rPr>
        <w:t>proceso</w:t>
      </w:r>
      <w:proofErr w:type="spellEnd"/>
      <w:r>
        <w:rPr>
          <w:b/>
          <w:lang w:val="en-US"/>
        </w:rPr>
        <w:t xml:space="preserve"> legislative </w:t>
      </w:r>
      <w:proofErr w:type="spellStart"/>
      <w:r>
        <w:rPr>
          <w:b/>
          <w:lang w:val="en-US"/>
        </w:rPr>
        <w:t>europeo</w:t>
      </w:r>
      <w:proofErr w:type="spellEnd"/>
      <w:r>
        <w:rPr>
          <w:b/>
          <w:lang w:val="en-US"/>
        </w:rPr>
        <w:t xml:space="preserve">. El </w:t>
      </w:r>
      <w:proofErr w:type="spellStart"/>
      <w:r>
        <w:rPr>
          <w:b/>
          <w:lang w:val="en-US"/>
        </w:rPr>
        <w:t>caso</w:t>
      </w:r>
      <w:proofErr w:type="spellEnd"/>
      <w:r>
        <w:rPr>
          <w:b/>
          <w:lang w:val="en-US"/>
        </w:rPr>
        <w:t xml:space="preserve"> de las Cortes </w:t>
      </w:r>
      <w:proofErr w:type="spellStart"/>
      <w:r>
        <w:rPr>
          <w:b/>
          <w:lang w:val="en-US"/>
        </w:rPr>
        <w:t>Generales</w:t>
      </w:r>
      <w:proofErr w:type="spellEnd"/>
      <w:r w:rsidRPr="0027724D">
        <w:rPr>
          <w:b/>
          <w:lang w:val="en-US"/>
        </w:rPr>
        <w:t xml:space="preserve">: </w:t>
      </w:r>
      <w:proofErr w:type="spellStart"/>
      <w:r>
        <w:rPr>
          <w:b/>
          <w:lang w:val="en-US"/>
        </w:rPr>
        <w:t>teor</w:t>
      </w:r>
      <w:r>
        <w:rPr>
          <w:b/>
          <w:lang w:val="en-US"/>
        </w:rPr>
        <w:t>í</w:t>
      </w:r>
      <w:r>
        <w:rPr>
          <w:b/>
          <w:lang w:val="en-US"/>
        </w:rPr>
        <w:t>a</w:t>
      </w:r>
      <w:proofErr w:type="spellEnd"/>
      <w:r>
        <w:rPr>
          <w:b/>
          <w:lang w:val="en-US"/>
        </w:rPr>
        <w:t xml:space="preserve"> y </w:t>
      </w:r>
      <w:proofErr w:type="spellStart"/>
      <w:r>
        <w:rPr>
          <w:b/>
          <w:lang w:val="en-US"/>
        </w:rPr>
        <w:t>pr</w:t>
      </w:r>
      <w:r>
        <w:rPr>
          <w:b/>
          <w:lang w:val="en-US"/>
        </w:rPr>
        <w:t>á</w:t>
      </w:r>
      <w:r>
        <w:rPr>
          <w:b/>
          <w:lang w:val="en-US"/>
        </w:rPr>
        <w:t>ctica</w:t>
      </w:r>
      <w:proofErr w:type="spellEnd"/>
      <w:r>
        <w:rPr>
          <w:b/>
          <w:lang w:val="en-US"/>
        </w:rPr>
        <w:t xml:space="preserve"> de la </w:t>
      </w:r>
      <w:proofErr w:type="spellStart"/>
      <w:r>
        <w:rPr>
          <w:b/>
          <w:lang w:val="en-US"/>
        </w:rPr>
        <w:t>aproximaci</w:t>
      </w:r>
      <w:r>
        <w:rPr>
          <w:b/>
          <w:lang w:val="en-US"/>
        </w:rPr>
        <w:t>ó</w:t>
      </w:r>
      <w:r>
        <w:rPr>
          <w:b/>
          <w:lang w:val="en-US"/>
        </w:rPr>
        <w:t>n</w:t>
      </w:r>
      <w:proofErr w:type="spellEnd"/>
      <w:r>
        <w:rPr>
          <w:b/>
          <w:lang w:val="en-US"/>
        </w:rPr>
        <w:t xml:space="preserve"> del </w:t>
      </w:r>
      <w:proofErr w:type="spellStart"/>
      <w:r>
        <w:rPr>
          <w:b/>
          <w:lang w:val="en-US"/>
        </w:rPr>
        <w:t>parlamento</w:t>
      </w:r>
      <w:proofErr w:type="spellEnd"/>
      <w:r>
        <w:rPr>
          <w:b/>
          <w:lang w:val="en-US"/>
        </w:rPr>
        <w:t xml:space="preserve"> </w:t>
      </w:r>
      <w:proofErr w:type="spellStart"/>
      <w:r>
        <w:rPr>
          <w:b/>
          <w:lang w:val="en-US"/>
        </w:rPr>
        <w:t>espa</w:t>
      </w:r>
      <w:r>
        <w:rPr>
          <w:b/>
          <w:lang w:val="en-US"/>
        </w:rPr>
        <w:t>ñ</w:t>
      </w:r>
      <w:r>
        <w:rPr>
          <w:b/>
          <w:lang w:val="en-US"/>
        </w:rPr>
        <w:t>ol</w:t>
      </w:r>
      <w:proofErr w:type="spellEnd"/>
      <w:r>
        <w:rPr>
          <w:b/>
          <w:lang w:val="en-US"/>
        </w:rPr>
        <w:t xml:space="preserve"> a la UE.</w:t>
      </w:r>
      <w:r w:rsidRPr="0027724D">
        <w:rPr>
          <w:b/>
          <w:lang w:val="en-US"/>
        </w:rPr>
        <w:t xml:space="preserve"> </w:t>
      </w:r>
    </w:p>
    <w:p w14:paraId="57FECE49" w14:textId="77777777" w:rsidR="00B60B63" w:rsidRPr="0027724D" w:rsidRDefault="00B60B63" w:rsidP="00B60B63">
      <w:pPr>
        <w:rPr>
          <w:lang w:val="en-US"/>
        </w:rPr>
      </w:pPr>
    </w:p>
    <w:p w14:paraId="653CB93C" w14:textId="77777777" w:rsidR="00B60B63" w:rsidRDefault="00B60B63" w:rsidP="008B23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rPr>
          <w:lang w:val="en-US"/>
        </w:rPr>
      </w:pPr>
      <w:r w:rsidRPr="0027724D">
        <w:rPr>
          <w:lang w:val="en-US"/>
        </w:rPr>
        <w:t xml:space="preserve">The Palgrave handbook of national parliaments and the European Union / </w:t>
      </w:r>
      <w:proofErr w:type="spellStart"/>
      <w:r w:rsidRPr="0027724D">
        <w:rPr>
          <w:lang w:val="en-US"/>
        </w:rPr>
        <w:t>Hefftler</w:t>
      </w:r>
      <w:proofErr w:type="spellEnd"/>
      <w:r w:rsidRPr="0027724D">
        <w:rPr>
          <w:lang w:val="en-US"/>
        </w:rPr>
        <w:t>, Claudia, 1982- , Basingstoke: Palgrave Macmillan, 2015.</w:t>
      </w:r>
    </w:p>
    <w:p w14:paraId="659B1028" w14:textId="77777777" w:rsidR="00B60B63" w:rsidRDefault="00B60B63" w:rsidP="008B23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jc w:val="both"/>
        <w:rPr>
          <w:lang w:val="en-GB"/>
        </w:rPr>
      </w:pPr>
      <w:r w:rsidRPr="008951BA">
        <w:rPr>
          <w:lang w:val="en-GB"/>
        </w:rPr>
        <w:t>Smith</w:t>
      </w:r>
      <w:r>
        <w:rPr>
          <w:lang w:val="en-GB"/>
        </w:rPr>
        <w:t>,</w:t>
      </w:r>
      <w:r w:rsidRPr="001A614B">
        <w:rPr>
          <w:lang w:val="en-GB"/>
        </w:rPr>
        <w:t xml:space="preserve"> </w:t>
      </w:r>
      <w:r w:rsidRPr="008951BA">
        <w:rPr>
          <w:lang w:val="en-GB"/>
        </w:rPr>
        <w:t>E.</w:t>
      </w:r>
      <w:r>
        <w:rPr>
          <w:lang w:val="en-GB"/>
        </w:rPr>
        <w:t>:</w:t>
      </w:r>
      <w:r w:rsidRPr="008951BA">
        <w:rPr>
          <w:lang w:val="en-GB"/>
        </w:rPr>
        <w:t xml:space="preserve"> </w:t>
      </w:r>
      <w:r>
        <w:rPr>
          <w:i/>
          <w:lang w:val="en-GB"/>
        </w:rPr>
        <w:t>National Parliaments as Cornerstones of European Integration</w:t>
      </w:r>
      <w:r>
        <w:rPr>
          <w:lang w:val="en-GB"/>
        </w:rPr>
        <w:t>. London: Kluwer International Law, 1996.</w:t>
      </w:r>
    </w:p>
    <w:p w14:paraId="08C7B4D0" w14:textId="77777777" w:rsidR="00B60B63" w:rsidRPr="0027724D" w:rsidRDefault="00B60B63" w:rsidP="008B23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jc w:val="both"/>
        <w:rPr>
          <w:lang w:eastAsia="es-ES"/>
        </w:rPr>
      </w:pPr>
      <w:r w:rsidRPr="00040430">
        <w:rPr>
          <w:lang w:val="en-GB" w:eastAsia="es-ES"/>
        </w:rPr>
        <w:t>Norton, Ph</w:t>
      </w:r>
      <w:r w:rsidRPr="00040430">
        <w:rPr>
          <w:caps/>
          <w:lang w:val="en-GB" w:eastAsia="es-ES"/>
        </w:rPr>
        <w:t>.</w:t>
      </w:r>
      <w:r w:rsidRPr="00040430">
        <w:rPr>
          <w:lang w:val="en-GB" w:eastAsia="es-ES"/>
        </w:rPr>
        <w:t xml:space="preserve">: </w:t>
      </w:r>
      <w:r w:rsidRPr="00040430">
        <w:rPr>
          <w:i/>
          <w:iCs/>
          <w:lang w:val="en-GB" w:eastAsia="es-ES"/>
        </w:rPr>
        <w:t>National Parliaments and the European Union</w:t>
      </w:r>
      <w:r w:rsidRPr="00040430">
        <w:rPr>
          <w:lang w:val="en-GB" w:eastAsia="es-ES"/>
        </w:rPr>
        <w:t xml:space="preserve">. </w:t>
      </w:r>
      <w:r w:rsidRPr="00187C22">
        <w:rPr>
          <w:lang w:eastAsia="es-ES"/>
        </w:rPr>
        <w:t>Frank Cass. London, 1996.</w:t>
      </w:r>
    </w:p>
    <w:p w14:paraId="707040B6" w14:textId="77777777" w:rsidR="00B60B63" w:rsidRPr="0027724D" w:rsidRDefault="00B60B63" w:rsidP="00B60B63">
      <w:pPr>
        <w:rPr>
          <w:lang w:val="en-US"/>
        </w:rPr>
      </w:pPr>
    </w:p>
    <w:p w14:paraId="1D6F8C51" w14:textId="4076E239" w:rsidR="00B60B63" w:rsidRPr="0027724D" w:rsidRDefault="00B60B63" w:rsidP="008B23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lang w:val="en-US"/>
        </w:rPr>
      </w:pPr>
      <w:proofErr w:type="spellStart"/>
      <w:r>
        <w:rPr>
          <w:b/>
          <w:lang w:val="en-US"/>
        </w:rPr>
        <w:t>Transparencia</w:t>
      </w:r>
      <w:proofErr w:type="spellEnd"/>
      <w:r>
        <w:rPr>
          <w:b/>
          <w:lang w:val="en-US"/>
        </w:rPr>
        <w:t xml:space="preserve"> </w:t>
      </w:r>
      <w:proofErr w:type="spellStart"/>
      <w:r>
        <w:rPr>
          <w:b/>
          <w:lang w:val="en-US"/>
        </w:rPr>
        <w:t>en</w:t>
      </w:r>
      <w:proofErr w:type="spellEnd"/>
      <w:r>
        <w:rPr>
          <w:b/>
          <w:lang w:val="en-US"/>
        </w:rPr>
        <w:t xml:space="preserve"> el </w:t>
      </w:r>
      <w:proofErr w:type="spellStart"/>
      <w:r>
        <w:rPr>
          <w:b/>
          <w:lang w:val="en-US"/>
        </w:rPr>
        <w:t>proceso</w:t>
      </w:r>
      <w:proofErr w:type="spellEnd"/>
      <w:r>
        <w:rPr>
          <w:b/>
          <w:lang w:val="en-US"/>
        </w:rPr>
        <w:t xml:space="preserve"> </w:t>
      </w:r>
      <w:proofErr w:type="spellStart"/>
      <w:r>
        <w:rPr>
          <w:b/>
          <w:lang w:val="en-US"/>
        </w:rPr>
        <w:t>legislativo</w:t>
      </w:r>
      <w:proofErr w:type="spellEnd"/>
      <w:r>
        <w:rPr>
          <w:b/>
          <w:lang w:val="en-US"/>
        </w:rPr>
        <w:t xml:space="preserve"> y </w:t>
      </w:r>
      <w:proofErr w:type="spellStart"/>
      <w:r>
        <w:rPr>
          <w:b/>
          <w:lang w:val="en-US"/>
        </w:rPr>
        <w:t>participaci</w:t>
      </w:r>
      <w:r>
        <w:rPr>
          <w:b/>
          <w:lang w:val="en-US"/>
        </w:rPr>
        <w:t>ó</w:t>
      </w:r>
      <w:r>
        <w:rPr>
          <w:b/>
          <w:lang w:val="en-US"/>
        </w:rPr>
        <w:t>n</w:t>
      </w:r>
      <w:proofErr w:type="spellEnd"/>
      <w:r>
        <w:rPr>
          <w:b/>
          <w:lang w:val="en-US"/>
        </w:rPr>
        <w:t xml:space="preserve"> </w:t>
      </w:r>
      <w:proofErr w:type="spellStart"/>
      <w:r>
        <w:rPr>
          <w:b/>
          <w:lang w:val="en-US"/>
        </w:rPr>
        <w:t>ciudadana</w:t>
      </w:r>
      <w:proofErr w:type="spellEnd"/>
    </w:p>
    <w:p w14:paraId="5B66BF30" w14:textId="77777777" w:rsidR="00B60B63" w:rsidRPr="0027724D" w:rsidRDefault="00B60B63" w:rsidP="00B60B63">
      <w:pPr>
        <w:rPr>
          <w:lang w:val="en-US"/>
        </w:rPr>
      </w:pPr>
    </w:p>
    <w:p w14:paraId="0FC18462" w14:textId="77777777" w:rsidR="00B60B63" w:rsidRPr="0027724D" w:rsidRDefault="00B60B63" w:rsidP="008B239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jc w:val="both"/>
        <w:rPr>
          <w:lang w:val="en-US"/>
        </w:rPr>
      </w:pPr>
      <w:r w:rsidRPr="0027724D">
        <w:rPr>
          <w:lang w:val="en-US"/>
        </w:rPr>
        <w:t xml:space="preserve">S.E. Dudley </w:t>
      </w:r>
      <w:r w:rsidRPr="0027724D">
        <w:rPr>
          <w:lang w:val="en-US"/>
        </w:rPr>
        <w:t>“</w:t>
      </w:r>
      <w:r w:rsidRPr="0027724D">
        <w:rPr>
          <w:lang w:val="en-US"/>
        </w:rPr>
        <w:t>The role of transparency in regulatory governance: comparing US and EU regulatory systems</w:t>
      </w:r>
      <w:r w:rsidRPr="0027724D">
        <w:rPr>
          <w:lang w:val="en-US"/>
        </w:rPr>
        <w:t>”</w:t>
      </w:r>
      <w:r w:rsidRPr="0027724D">
        <w:rPr>
          <w:lang w:val="en-US"/>
        </w:rPr>
        <w:t>, Journal of risk research 2015, p. 1-17</w:t>
      </w:r>
    </w:p>
    <w:p w14:paraId="0E006551" w14:textId="77777777" w:rsidR="00B60B63" w:rsidRPr="0027724D" w:rsidRDefault="00B60B63" w:rsidP="008B239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jc w:val="both"/>
        <w:rPr>
          <w:lang w:val="es-ES"/>
        </w:rPr>
      </w:pPr>
      <w:r w:rsidRPr="0027724D">
        <w:rPr>
          <w:lang w:val="es-ES"/>
        </w:rPr>
        <w:t>Jos</w:t>
      </w:r>
      <w:r w:rsidRPr="0027724D">
        <w:rPr>
          <w:lang w:val="es-ES"/>
        </w:rPr>
        <w:t>é</w:t>
      </w:r>
      <w:r w:rsidRPr="0027724D">
        <w:rPr>
          <w:lang w:val="es-ES"/>
        </w:rPr>
        <w:t xml:space="preserve"> Carlos Cano Montejano: Transparencia e </w:t>
      </w:r>
      <w:proofErr w:type="spellStart"/>
      <w:r w:rsidRPr="0027724D">
        <w:rPr>
          <w:lang w:val="es-ES"/>
        </w:rPr>
        <w:t>Hiperregulaci</w:t>
      </w:r>
      <w:r w:rsidRPr="0027724D">
        <w:rPr>
          <w:lang w:val="es-ES"/>
        </w:rPr>
        <w:t>ó</w:t>
      </w:r>
      <w:r w:rsidRPr="0027724D">
        <w:rPr>
          <w:lang w:val="es-ES"/>
        </w:rPr>
        <w:t>n</w:t>
      </w:r>
      <w:proofErr w:type="spellEnd"/>
      <w:r w:rsidRPr="0027724D">
        <w:rPr>
          <w:lang w:val="es-ES"/>
        </w:rPr>
        <w:t xml:space="preserve"> en la UE, </w:t>
      </w:r>
      <w:proofErr w:type="spellStart"/>
      <w:r w:rsidRPr="0027724D">
        <w:rPr>
          <w:lang w:val="es-ES"/>
        </w:rPr>
        <w:t>Dykinson</w:t>
      </w:r>
      <w:proofErr w:type="spellEnd"/>
      <w:r w:rsidRPr="0027724D">
        <w:rPr>
          <w:lang w:val="es-ES"/>
        </w:rPr>
        <w:t xml:space="preserve">, 2015. </w:t>
      </w:r>
    </w:p>
    <w:p w14:paraId="403B935E" w14:textId="77777777" w:rsidR="00B60B63" w:rsidRPr="0027724D" w:rsidRDefault="00B60B63" w:rsidP="00B60B63">
      <w:pPr>
        <w:rPr>
          <w:lang w:val="es-ES"/>
        </w:rPr>
      </w:pPr>
    </w:p>
    <w:p w14:paraId="489146CE" w14:textId="3FA3AC24" w:rsidR="00B60B63" w:rsidRPr="0027724D" w:rsidRDefault="00B60B63" w:rsidP="008B23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lang w:val="en-US"/>
        </w:rPr>
      </w:pPr>
      <w:r>
        <w:rPr>
          <w:b/>
          <w:lang w:val="en-US"/>
        </w:rPr>
        <w:t>Smart Regulation</w:t>
      </w:r>
    </w:p>
    <w:p w14:paraId="08561585" w14:textId="77777777" w:rsidR="00B60B63" w:rsidRPr="0027724D" w:rsidRDefault="00B60B63" w:rsidP="008B23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134"/>
        <w:jc w:val="both"/>
        <w:rPr>
          <w:lang w:val="en-US"/>
        </w:rPr>
      </w:pPr>
      <w:r w:rsidRPr="0027724D">
        <w:rPr>
          <w:lang w:val="en-US"/>
        </w:rPr>
        <w:t>Better Regulation Package, 19.5.2015, European Commission</w:t>
      </w:r>
    </w:p>
    <w:p w14:paraId="69844A22" w14:textId="77777777" w:rsidR="00B60B63" w:rsidRPr="0027724D" w:rsidRDefault="00B60B63" w:rsidP="008B23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134"/>
        <w:jc w:val="both"/>
        <w:rPr>
          <w:lang w:val="en-US"/>
        </w:rPr>
      </w:pPr>
      <w:proofErr w:type="spellStart"/>
      <w:r w:rsidRPr="0027724D">
        <w:rPr>
          <w:lang w:val="en-US"/>
        </w:rPr>
        <w:t>Mandelkern</w:t>
      </w:r>
      <w:proofErr w:type="spellEnd"/>
      <w:r w:rsidRPr="0027724D">
        <w:rPr>
          <w:lang w:val="en-US"/>
        </w:rPr>
        <w:t xml:space="preserve"> Report on Better Regulation, Final Report, European Commission</w:t>
      </w:r>
    </w:p>
    <w:p w14:paraId="131CEABF" w14:textId="77777777" w:rsidR="00B60B63" w:rsidRPr="0027724D" w:rsidRDefault="00B60B63" w:rsidP="008B23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134"/>
        <w:jc w:val="both"/>
        <w:rPr>
          <w:lang w:val="en-US"/>
        </w:rPr>
      </w:pPr>
      <w:r w:rsidRPr="0027724D">
        <w:rPr>
          <w:lang w:val="en-US"/>
        </w:rPr>
        <w:t>Better Regulation Framework Manual, Practical Guidance for UK Government Officials, march 2015</w:t>
      </w:r>
    </w:p>
    <w:p w14:paraId="6EFCE323" w14:textId="77777777" w:rsidR="00B60B63" w:rsidRDefault="00B60B63" w:rsidP="008B7DBA">
      <w:pPr>
        <w:widowControl w:val="0"/>
        <w:ind w:left="720"/>
        <w:jc w:val="both"/>
        <w:rPr>
          <w:rFonts w:hAnsi="Times New Roman" w:cs="Times New Roman"/>
          <w:b/>
          <w:lang w:val="es-ES"/>
        </w:rPr>
      </w:pPr>
    </w:p>
    <w:sectPr w:rsidR="00B60B63">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2B86" w14:textId="77777777" w:rsidR="008B239D" w:rsidRDefault="008B239D">
      <w:r>
        <w:separator/>
      </w:r>
    </w:p>
  </w:endnote>
  <w:endnote w:type="continuationSeparator" w:id="0">
    <w:p w14:paraId="73F53F57" w14:textId="77777777" w:rsidR="008B239D" w:rsidRDefault="008B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D600" w14:textId="1C31C055" w:rsidR="00136DE6" w:rsidRDefault="00136DE6">
    <w:pPr>
      <w:pStyle w:val="Cabeceray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fldChar w:fldCharType="begin"/>
    </w:r>
    <w:r>
      <w:instrText xml:space="preserve"> PAGE </w:instrText>
    </w:r>
    <w:r>
      <w:fldChar w:fldCharType="separate"/>
    </w:r>
    <w:r w:rsidR="00B60B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916B" w14:textId="77777777" w:rsidR="008B239D" w:rsidRDefault="008B239D">
      <w:r>
        <w:separator/>
      </w:r>
    </w:p>
  </w:footnote>
  <w:footnote w:type="continuationSeparator" w:id="0">
    <w:p w14:paraId="769C9166" w14:textId="77777777" w:rsidR="008B239D" w:rsidRDefault="008B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330"/>
    <w:multiLevelType w:val="multilevel"/>
    <w:tmpl w:val="62F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62310"/>
    <w:multiLevelType w:val="multilevel"/>
    <w:tmpl w:val="C48A6ED4"/>
    <w:styleLink w:val="Estiloimportado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141E6947"/>
    <w:multiLevelType w:val="multilevel"/>
    <w:tmpl w:val="26A6F4EA"/>
    <w:styleLink w:val="List1"/>
    <w:lvl w:ilvl="0">
      <w:start w:val="1"/>
      <w:numFmt w:val="bullet"/>
      <w:lvlText w:val="•"/>
      <w:lvlJc w:val="left"/>
      <w:rPr>
        <w:position w:val="0"/>
        <w:lang w:val="en-US"/>
      </w:rPr>
    </w:lvl>
    <w:lvl w:ilv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1C9E0F63"/>
    <w:multiLevelType w:val="multilevel"/>
    <w:tmpl w:val="EA64C45A"/>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 w15:restartNumberingAfterBreak="0">
    <w:nsid w:val="26B411B1"/>
    <w:multiLevelType w:val="multilevel"/>
    <w:tmpl w:val="CE644A14"/>
    <w:styleLink w:val="Estiloimportado5"/>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 w15:restartNumberingAfterBreak="0">
    <w:nsid w:val="2D7D43D6"/>
    <w:multiLevelType w:val="hybridMultilevel"/>
    <w:tmpl w:val="37F04D62"/>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33D655EC"/>
    <w:multiLevelType w:val="hybridMultilevel"/>
    <w:tmpl w:val="E8968A48"/>
    <w:lvl w:ilvl="0" w:tplc="0BD64B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2D213F"/>
    <w:multiLevelType w:val="hybridMultilevel"/>
    <w:tmpl w:val="43D801B4"/>
    <w:lvl w:ilvl="0" w:tplc="0C0A000F">
      <w:start w:val="1"/>
      <w:numFmt w:val="decimal"/>
      <w:lvlText w:val="%1."/>
      <w:lvlJc w:val="left"/>
      <w:pPr>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46711C1F"/>
    <w:multiLevelType w:val="hybridMultilevel"/>
    <w:tmpl w:val="F5882CE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245523"/>
    <w:multiLevelType w:val="hybridMultilevel"/>
    <w:tmpl w:val="E744BE48"/>
    <w:lvl w:ilvl="0" w:tplc="0BD64B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CC0B33"/>
    <w:multiLevelType w:val="hybridMultilevel"/>
    <w:tmpl w:val="C3145F94"/>
    <w:lvl w:ilvl="0" w:tplc="0BD64B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39D254D"/>
    <w:multiLevelType w:val="hybridMultilevel"/>
    <w:tmpl w:val="7792912C"/>
    <w:lvl w:ilvl="0" w:tplc="0BD64B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99072B"/>
    <w:multiLevelType w:val="hybridMultilevel"/>
    <w:tmpl w:val="7C00934C"/>
    <w:lvl w:ilvl="0" w:tplc="0BD64B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9"/>
  </w:num>
  <w:num w:numId="7">
    <w:abstractNumId w:val="12"/>
  </w:num>
  <w:num w:numId="8">
    <w:abstractNumId w:val="10"/>
  </w:num>
  <w:num w:numId="9">
    <w:abstractNumId w:val="11"/>
  </w:num>
  <w:num w:numId="10">
    <w:abstractNumId w:val="6"/>
  </w:num>
  <w:num w:numId="11">
    <w:abstractNumId w:val="8"/>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2"/>
    <w:rsid w:val="000A0945"/>
    <w:rsid w:val="00136DE6"/>
    <w:rsid w:val="00170518"/>
    <w:rsid w:val="001A4833"/>
    <w:rsid w:val="001B23EA"/>
    <w:rsid w:val="001B2DF9"/>
    <w:rsid w:val="00204F7B"/>
    <w:rsid w:val="00234892"/>
    <w:rsid w:val="002B061F"/>
    <w:rsid w:val="002C1867"/>
    <w:rsid w:val="002D400A"/>
    <w:rsid w:val="002E2937"/>
    <w:rsid w:val="00322735"/>
    <w:rsid w:val="0033670C"/>
    <w:rsid w:val="0035312D"/>
    <w:rsid w:val="003561C2"/>
    <w:rsid w:val="003B7A95"/>
    <w:rsid w:val="003E2AC6"/>
    <w:rsid w:val="003F3A7D"/>
    <w:rsid w:val="00410FDE"/>
    <w:rsid w:val="0045014F"/>
    <w:rsid w:val="00474B61"/>
    <w:rsid w:val="00486114"/>
    <w:rsid w:val="00492A8D"/>
    <w:rsid w:val="005009E5"/>
    <w:rsid w:val="00503EC1"/>
    <w:rsid w:val="005247E6"/>
    <w:rsid w:val="005818EC"/>
    <w:rsid w:val="00590698"/>
    <w:rsid w:val="0073375F"/>
    <w:rsid w:val="007B4068"/>
    <w:rsid w:val="00811F94"/>
    <w:rsid w:val="0083141E"/>
    <w:rsid w:val="0084183D"/>
    <w:rsid w:val="00841DDB"/>
    <w:rsid w:val="008B239D"/>
    <w:rsid w:val="008B4851"/>
    <w:rsid w:val="008B7DBA"/>
    <w:rsid w:val="008D01A8"/>
    <w:rsid w:val="009113B0"/>
    <w:rsid w:val="00911FDA"/>
    <w:rsid w:val="00964533"/>
    <w:rsid w:val="00987609"/>
    <w:rsid w:val="009C44E7"/>
    <w:rsid w:val="00AA0CD0"/>
    <w:rsid w:val="00AB7D4F"/>
    <w:rsid w:val="00B21444"/>
    <w:rsid w:val="00B37FC6"/>
    <w:rsid w:val="00B56726"/>
    <w:rsid w:val="00B60B63"/>
    <w:rsid w:val="00B723F9"/>
    <w:rsid w:val="00BA134B"/>
    <w:rsid w:val="00BC1B51"/>
    <w:rsid w:val="00BE63B9"/>
    <w:rsid w:val="00C03EF2"/>
    <w:rsid w:val="00C14938"/>
    <w:rsid w:val="00C65EC6"/>
    <w:rsid w:val="00C704F8"/>
    <w:rsid w:val="00C8514E"/>
    <w:rsid w:val="00D060E3"/>
    <w:rsid w:val="00D17255"/>
    <w:rsid w:val="00DD5F96"/>
    <w:rsid w:val="00E057CD"/>
    <w:rsid w:val="00E21E4D"/>
    <w:rsid w:val="00E27D15"/>
    <w:rsid w:val="00E35C48"/>
    <w:rsid w:val="00E642FF"/>
    <w:rsid w:val="00EE2ACF"/>
    <w:rsid w:val="00F035FA"/>
    <w:rsid w:val="00F55F3D"/>
    <w:rsid w:val="00FC516D"/>
    <w:rsid w:val="00FE5E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433E"/>
  <w15:docId w15:val="{7D53D16A-EDB2-439B-8A93-ACD6647B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hAnsi="Arial Unicode MS" w:cs="Arial Unicode MS"/>
      <w:color w:val="000000"/>
      <w:sz w:val="24"/>
      <w:szCs w:val="24"/>
      <w:u w:color="000000"/>
      <w:lang w:val="it-I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character" w:customStyle="1" w:styleId="Ninguno">
    <w:name w:val="Ninguno"/>
  </w:style>
  <w:style w:type="character" w:customStyle="1" w:styleId="Hyperlink0">
    <w:name w:val="Hyperlink.0"/>
    <w:basedOn w:val="Ninguno"/>
    <w:rPr>
      <w:color w:val="0000FF"/>
      <w:u w:val="single" w:color="0000FF"/>
      <w:lang w:val="en-US"/>
    </w:rPr>
  </w:style>
  <w:style w:type="character" w:customStyle="1" w:styleId="Hyperlink1">
    <w:name w:val="Hyperlink.1"/>
    <w:basedOn w:val="Ninguno"/>
    <w:rPr>
      <w:color w:val="0000FF"/>
      <w:u w:val="single" w:color="0000FF"/>
      <w:lang w:val="en-US"/>
    </w:rPr>
  </w:style>
  <w:style w:type="numbering" w:customStyle="1" w:styleId="List0">
    <w:name w:val="List 0"/>
    <w:basedOn w:val="Estiloimportado1"/>
    <w:pPr>
      <w:numPr>
        <w:numId w:val="2"/>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Estiloimportado4">
    <w:name w:val="Estilo importado 4"/>
    <w:pPr>
      <w:numPr>
        <w:numId w:val="3"/>
      </w:numPr>
    </w:pPr>
  </w:style>
  <w:style w:type="numbering" w:customStyle="1" w:styleId="Estiloimportado5">
    <w:name w:val="Estilo importado 5"/>
    <w:pPr>
      <w:numPr>
        <w:numId w:val="4"/>
      </w:numPr>
    </w:pPr>
  </w:style>
  <w:style w:type="paragraph" w:styleId="Prrafodelista">
    <w:name w:val="List Paragraph"/>
    <w:basedOn w:val="Normal"/>
    <w:uiPriority w:val="34"/>
    <w:qFormat/>
    <w:rsid w:val="00E35C48"/>
    <w:pPr>
      <w:ind w:left="720"/>
      <w:contextualSpacing/>
    </w:pPr>
  </w:style>
  <w:style w:type="paragraph" w:styleId="Textodeglobo">
    <w:name w:val="Balloon Text"/>
    <w:basedOn w:val="Normal"/>
    <w:link w:val="TextodegloboCar"/>
    <w:uiPriority w:val="99"/>
    <w:semiHidden/>
    <w:unhideWhenUsed/>
    <w:rsid w:val="004501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014F"/>
    <w:rPr>
      <w:rFonts w:ascii="Lucida Grande" w:hAnsi="Lucida Grande" w:cs="Lucida Grande"/>
      <w:color w:val="000000"/>
      <w:sz w:val="18"/>
      <w:szCs w:val="18"/>
      <w:u w:color="000000"/>
      <w:lang w:val="it-IT" w:eastAsia="en-US"/>
    </w:rPr>
  </w:style>
  <w:style w:type="paragraph" w:styleId="NormalWeb">
    <w:name w:val="Normal (Web)"/>
    <w:basedOn w:val="Normal"/>
    <w:uiPriority w:val="99"/>
    <w:semiHidden/>
    <w:unhideWhenUsed/>
    <w:rsid w:val="004861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s-ES" w:eastAsia="es-ES"/>
    </w:rPr>
  </w:style>
  <w:style w:type="paragraph" w:customStyle="1" w:styleId="Default">
    <w:name w:val="Default"/>
    <w:rsid w:val="00B567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57">
      <w:bodyDiv w:val="1"/>
      <w:marLeft w:val="0"/>
      <w:marRight w:val="0"/>
      <w:marTop w:val="0"/>
      <w:marBottom w:val="0"/>
      <w:divBdr>
        <w:top w:val="none" w:sz="0" w:space="0" w:color="auto"/>
        <w:left w:val="none" w:sz="0" w:space="0" w:color="auto"/>
        <w:bottom w:val="none" w:sz="0" w:space="0" w:color="auto"/>
        <w:right w:val="none" w:sz="0" w:space="0" w:color="auto"/>
      </w:divBdr>
      <w:divsChild>
        <w:div w:id="132985756">
          <w:marLeft w:val="0"/>
          <w:marRight w:val="0"/>
          <w:marTop w:val="0"/>
          <w:marBottom w:val="0"/>
          <w:divBdr>
            <w:top w:val="none" w:sz="0" w:space="0" w:color="auto"/>
            <w:left w:val="none" w:sz="0" w:space="0" w:color="auto"/>
            <w:bottom w:val="none" w:sz="0" w:space="0" w:color="auto"/>
            <w:right w:val="none" w:sz="0" w:space="0" w:color="auto"/>
          </w:divBdr>
          <w:divsChild>
            <w:div w:id="1235433676">
              <w:marLeft w:val="0"/>
              <w:marRight w:val="0"/>
              <w:marTop w:val="0"/>
              <w:marBottom w:val="0"/>
              <w:divBdr>
                <w:top w:val="none" w:sz="0" w:space="0" w:color="auto"/>
                <w:left w:val="none" w:sz="0" w:space="0" w:color="auto"/>
                <w:bottom w:val="none" w:sz="0" w:space="0" w:color="auto"/>
                <w:right w:val="none" w:sz="0" w:space="0" w:color="auto"/>
              </w:divBdr>
              <w:divsChild>
                <w:div w:id="1661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910">
      <w:bodyDiv w:val="1"/>
      <w:marLeft w:val="0"/>
      <w:marRight w:val="0"/>
      <w:marTop w:val="0"/>
      <w:marBottom w:val="0"/>
      <w:divBdr>
        <w:top w:val="none" w:sz="0" w:space="0" w:color="auto"/>
        <w:left w:val="none" w:sz="0" w:space="0" w:color="auto"/>
        <w:bottom w:val="none" w:sz="0" w:space="0" w:color="auto"/>
        <w:right w:val="none" w:sz="0" w:space="0" w:color="auto"/>
      </w:divBdr>
      <w:divsChild>
        <w:div w:id="1648238731">
          <w:marLeft w:val="0"/>
          <w:marRight w:val="0"/>
          <w:marTop w:val="0"/>
          <w:marBottom w:val="0"/>
          <w:divBdr>
            <w:top w:val="none" w:sz="0" w:space="0" w:color="auto"/>
            <w:left w:val="none" w:sz="0" w:space="0" w:color="auto"/>
            <w:bottom w:val="none" w:sz="0" w:space="0" w:color="auto"/>
            <w:right w:val="none" w:sz="0" w:space="0" w:color="auto"/>
          </w:divBdr>
          <w:divsChild>
            <w:div w:id="1986936028">
              <w:marLeft w:val="0"/>
              <w:marRight w:val="0"/>
              <w:marTop w:val="0"/>
              <w:marBottom w:val="0"/>
              <w:divBdr>
                <w:top w:val="none" w:sz="0" w:space="0" w:color="auto"/>
                <w:left w:val="none" w:sz="0" w:space="0" w:color="auto"/>
                <w:bottom w:val="none" w:sz="0" w:space="0" w:color="auto"/>
                <w:right w:val="none" w:sz="0" w:space="0" w:color="auto"/>
              </w:divBdr>
              <w:divsChild>
                <w:div w:id="21365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221">
      <w:bodyDiv w:val="1"/>
      <w:marLeft w:val="0"/>
      <w:marRight w:val="0"/>
      <w:marTop w:val="0"/>
      <w:marBottom w:val="0"/>
      <w:divBdr>
        <w:top w:val="none" w:sz="0" w:space="0" w:color="auto"/>
        <w:left w:val="none" w:sz="0" w:space="0" w:color="auto"/>
        <w:bottom w:val="none" w:sz="0" w:space="0" w:color="auto"/>
        <w:right w:val="none" w:sz="0" w:space="0" w:color="auto"/>
      </w:divBdr>
    </w:div>
    <w:div w:id="390350022">
      <w:bodyDiv w:val="1"/>
      <w:marLeft w:val="0"/>
      <w:marRight w:val="0"/>
      <w:marTop w:val="0"/>
      <w:marBottom w:val="0"/>
      <w:divBdr>
        <w:top w:val="none" w:sz="0" w:space="0" w:color="auto"/>
        <w:left w:val="none" w:sz="0" w:space="0" w:color="auto"/>
        <w:bottom w:val="none" w:sz="0" w:space="0" w:color="auto"/>
        <w:right w:val="none" w:sz="0" w:space="0" w:color="auto"/>
      </w:divBdr>
      <w:divsChild>
        <w:div w:id="351494715">
          <w:marLeft w:val="0"/>
          <w:marRight w:val="0"/>
          <w:marTop w:val="0"/>
          <w:marBottom w:val="0"/>
          <w:divBdr>
            <w:top w:val="none" w:sz="0" w:space="0" w:color="auto"/>
            <w:left w:val="none" w:sz="0" w:space="0" w:color="auto"/>
            <w:bottom w:val="none" w:sz="0" w:space="0" w:color="auto"/>
            <w:right w:val="none" w:sz="0" w:space="0" w:color="auto"/>
          </w:divBdr>
          <w:divsChild>
            <w:div w:id="93985671">
              <w:marLeft w:val="0"/>
              <w:marRight w:val="0"/>
              <w:marTop w:val="0"/>
              <w:marBottom w:val="0"/>
              <w:divBdr>
                <w:top w:val="none" w:sz="0" w:space="0" w:color="auto"/>
                <w:left w:val="none" w:sz="0" w:space="0" w:color="auto"/>
                <w:bottom w:val="none" w:sz="0" w:space="0" w:color="auto"/>
                <w:right w:val="none" w:sz="0" w:space="0" w:color="auto"/>
              </w:divBdr>
              <w:divsChild>
                <w:div w:id="36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1613">
      <w:bodyDiv w:val="1"/>
      <w:marLeft w:val="0"/>
      <w:marRight w:val="0"/>
      <w:marTop w:val="0"/>
      <w:marBottom w:val="0"/>
      <w:divBdr>
        <w:top w:val="none" w:sz="0" w:space="0" w:color="auto"/>
        <w:left w:val="none" w:sz="0" w:space="0" w:color="auto"/>
        <w:bottom w:val="none" w:sz="0" w:space="0" w:color="auto"/>
        <w:right w:val="none" w:sz="0" w:space="0" w:color="auto"/>
      </w:divBdr>
      <w:divsChild>
        <w:div w:id="2012294625">
          <w:marLeft w:val="0"/>
          <w:marRight w:val="0"/>
          <w:marTop w:val="0"/>
          <w:marBottom w:val="0"/>
          <w:divBdr>
            <w:top w:val="none" w:sz="0" w:space="0" w:color="auto"/>
            <w:left w:val="none" w:sz="0" w:space="0" w:color="auto"/>
            <w:bottom w:val="none" w:sz="0" w:space="0" w:color="auto"/>
            <w:right w:val="none" w:sz="0" w:space="0" w:color="auto"/>
          </w:divBdr>
          <w:divsChild>
            <w:div w:id="1830362267">
              <w:marLeft w:val="0"/>
              <w:marRight w:val="0"/>
              <w:marTop w:val="0"/>
              <w:marBottom w:val="0"/>
              <w:divBdr>
                <w:top w:val="none" w:sz="0" w:space="0" w:color="auto"/>
                <w:left w:val="none" w:sz="0" w:space="0" w:color="auto"/>
                <w:bottom w:val="none" w:sz="0" w:space="0" w:color="auto"/>
                <w:right w:val="none" w:sz="0" w:space="0" w:color="auto"/>
              </w:divBdr>
              <w:divsChild>
                <w:div w:id="1820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2953">
      <w:bodyDiv w:val="1"/>
      <w:marLeft w:val="0"/>
      <w:marRight w:val="0"/>
      <w:marTop w:val="0"/>
      <w:marBottom w:val="0"/>
      <w:divBdr>
        <w:top w:val="none" w:sz="0" w:space="0" w:color="auto"/>
        <w:left w:val="none" w:sz="0" w:space="0" w:color="auto"/>
        <w:bottom w:val="none" w:sz="0" w:space="0" w:color="auto"/>
        <w:right w:val="none" w:sz="0" w:space="0" w:color="auto"/>
      </w:divBdr>
      <w:divsChild>
        <w:div w:id="2008827994">
          <w:marLeft w:val="0"/>
          <w:marRight w:val="0"/>
          <w:marTop w:val="0"/>
          <w:marBottom w:val="0"/>
          <w:divBdr>
            <w:top w:val="none" w:sz="0" w:space="0" w:color="auto"/>
            <w:left w:val="none" w:sz="0" w:space="0" w:color="auto"/>
            <w:bottom w:val="none" w:sz="0" w:space="0" w:color="auto"/>
            <w:right w:val="none" w:sz="0" w:space="0" w:color="auto"/>
          </w:divBdr>
          <w:divsChild>
            <w:div w:id="685641492">
              <w:marLeft w:val="0"/>
              <w:marRight w:val="0"/>
              <w:marTop w:val="0"/>
              <w:marBottom w:val="0"/>
              <w:divBdr>
                <w:top w:val="none" w:sz="0" w:space="0" w:color="auto"/>
                <w:left w:val="none" w:sz="0" w:space="0" w:color="auto"/>
                <w:bottom w:val="none" w:sz="0" w:space="0" w:color="auto"/>
                <w:right w:val="none" w:sz="0" w:space="0" w:color="auto"/>
              </w:divBdr>
              <w:divsChild>
                <w:div w:id="9465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19967">
      <w:bodyDiv w:val="1"/>
      <w:marLeft w:val="0"/>
      <w:marRight w:val="0"/>
      <w:marTop w:val="0"/>
      <w:marBottom w:val="0"/>
      <w:divBdr>
        <w:top w:val="none" w:sz="0" w:space="0" w:color="auto"/>
        <w:left w:val="none" w:sz="0" w:space="0" w:color="auto"/>
        <w:bottom w:val="none" w:sz="0" w:space="0" w:color="auto"/>
        <w:right w:val="none" w:sz="0" w:space="0" w:color="auto"/>
      </w:divBdr>
    </w:div>
    <w:div w:id="1553153642">
      <w:bodyDiv w:val="1"/>
      <w:marLeft w:val="0"/>
      <w:marRight w:val="0"/>
      <w:marTop w:val="0"/>
      <w:marBottom w:val="0"/>
      <w:divBdr>
        <w:top w:val="none" w:sz="0" w:space="0" w:color="auto"/>
        <w:left w:val="none" w:sz="0" w:space="0" w:color="auto"/>
        <w:bottom w:val="none" w:sz="0" w:space="0" w:color="auto"/>
        <w:right w:val="none" w:sz="0" w:space="0" w:color="auto"/>
      </w:divBdr>
    </w:div>
    <w:div w:id="2075929705">
      <w:bodyDiv w:val="1"/>
      <w:marLeft w:val="0"/>
      <w:marRight w:val="0"/>
      <w:marTop w:val="0"/>
      <w:marBottom w:val="0"/>
      <w:divBdr>
        <w:top w:val="none" w:sz="0" w:space="0" w:color="auto"/>
        <w:left w:val="none" w:sz="0" w:space="0" w:color="auto"/>
        <w:bottom w:val="none" w:sz="0" w:space="0" w:color="auto"/>
        <w:right w:val="none" w:sz="0" w:space="0" w:color="auto"/>
      </w:divBdr>
      <w:divsChild>
        <w:div w:id="1950580384">
          <w:marLeft w:val="0"/>
          <w:marRight w:val="0"/>
          <w:marTop w:val="0"/>
          <w:marBottom w:val="0"/>
          <w:divBdr>
            <w:top w:val="none" w:sz="0" w:space="0" w:color="auto"/>
            <w:left w:val="none" w:sz="0" w:space="0" w:color="auto"/>
            <w:bottom w:val="none" w:sz="0" w:space="0" w:color="auto"/>
            <w:right w:val="none" w:sz="0" w:space="0" w:color="auto"/>
          </w:divBdr>
          <w:divsChild>
            <w:div w:id="437987704">
              <w:marLeft w:val="0"/>
              <w:marRight w:val="0"/>
              <w:marTop w:val="0"/>
              <w:marBottom w:val="0"/>
              <w:divBdr>
                <w:top w:val="none" w:sz="0" w:space="0" w:color="auto"/>
                <w:left w:val="none" w:sz="0" w:space="0" w:color="auto"/>
                <w:bottom w:val="none" w:sz="0" w:space="0" w:color="auto"/>
                <w:right w:val="none" w:sz="0" w:space="0" w:color="auto"/>
              </w:divBdr>
              <w:divsChild>
                <w:div w:id="6285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ur-lex.europa.eu/legal-content/EN/TXT/PDF/?uri=CELEX:52001DC0428&amp;fr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1153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Covadonga</dc:creator>
  <cp:lastModifiedBy>Beita Ferrer Martín de Vidales</cp:lastModifiedBy>
  <cp:revision>3</cp:revision>
  <cp:lastPrinted>2017-01-01T19:08:00Z</cp:lastPrinted>
  <dcterms:created xsi:type="dcterms:W3CDTF">2017-02-01T17:05:00Z</dcterms:created>
  <dcterms:modified xsi:type="dcterms:W3CDTF">2017-02-01T17:43:00Z</dcterms:modified>
</cp:coreProperties>
</file>