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FDAD" w14:textId="77777777" w:rsidR="00FC74E5" w:rsidRDefault="00FC74E5" w:rsidP="00FC74E5">
      <w:pPr>
        <w:jc w:val="both"/>
        <w:rPr>
          <w:spacing w:val="-3"/>
          <w:sz w:val="24"/>
        </w:rPr>
      </w:pPr>
    </w:p>
    <w:p w14:paraId="72F8874C" w14:textId="77777777" w:rsidR="00D20025" w:rsidRDefault="00D20025" w:rsidP="00FC74E5">
      <w:pPr>
        <w:pStyle w:val="Prrafodelista"/>
        <w:jc w:val="both"/>
      </w:pPr>
    </w:p>
    <w:p w14:paraId="436B6A51" w14:textId="77777777" w:rsidR="00D20025" w:rsidRDefault="00D20025" w:rsidP="00FC74E5">
      <w:pPr>
        <w:pStyle w:val="Prrafodelista"/>
        <w:jc w:val="both"/>
      </w:pPr>
    </w:p>
    <w:p w14:paraId="0ADA7B13" w14:textId="77777777" w:rsidR="00FC74E5" w:rsidRPr="00D20025" w:rsidRDefault="00D20025" w:rsidP="00FC74E5">
      <w:pPr>
        <w:pStyle w:val="Prrafodelista"/>
        <w:jc w:val="both"/>
        <w:rPr>
          <w:sz w:val="24"/>
          <w:szCs w:val="24"/>
        </w:rPr>
      </w:pPr>
      <w:r w:rsidRPr="00D20025">
        <w:rPr>
          <w:sz w:val="24"/>
          <w:szCs w:val="24"/>
        </w:rPr>
        <w:t>MANUALES, LIBROS Y ARTÍCULOS EN REVISTAS CIENTÍFICAS Y LIBROS COLECTIVOS</w:t>
      </w:r>
    </w:p>
    <w:p w14:paraId="7AB02C9D" w14:textId="77777777" w:rsidR="00D20025" w:rsidRDefault="00D20025" w:rsidP="00FC74E5">
      <w:pPr>
        <w:pStyle w:val="Prrafodelista"/>
        <w:jc w:val="both"/>
      </w:pPr>
    </w:p>
    <w:p w14:paraId="53AC8363" w14:textId="77777777" w:rsidR="00D20025" w:rsidRDefault="00D20025" w:rsidP="00FC74E5">
      <w:pPr>
        <w:pStyle w:val="Prrafodelista"/>
        <w:jc w:val="both"/>
        <w:rPr>
          <w:spacing w:val="-3"/>
          <w:sz w:val="24"/>
        </w:rPr>
      </w:pPr>
    </w:p>
    <w:p w14:paraId="1C394CA7" w14:textId="77777777" w:rsidR="00D20025" w:rsidRDefault="00D20025" w:rsidP="00D20025">
      <w:pPr>
        <w:pStyle w:val="Prrafodelista"/>
        <w:numPr>
          <w:ilvl w:val="0"/>
          <w:numId w:val="1"/>
        </w:numPr>
        <w:jc w:val="both"/>
        <w:rPr>
          <w:spacing w:val="-3"/>
          <w:sz w:val="24"/>
        </w:rPr>
      </w:pPr>
      <w:r w:rsidRPr="00D20025">
        <w:rPr>
          <w:spacing w:val="-3"/>
          <w:sz w:val="24"/>
        </w:rPr>
        <w:t xml:space="preserve"> “El gobierno económico de la Unión Europea y el Estado social”, en D. López Garrido (</w:t>
      </w:r>
      <w:proofErr w:type="spellStart"/>
      <w:r w:rsidRPr="00D20025">
        <w:rPr>
          <w:spacing w:val="-3"/>
          <w:sz w:val="24"/>
        </w:rPr>
        <w:t>dir.</w:t>
      </w:r>
      <w:proofErr w:type="spellEnd"/>
      <w:r w:rsidRPr="00D20025">
        <w:rPr>
          <w:spacing w:val="-3"/>
          <w:sz w:val="24"/>
        </w:rPr>
        <w:t>) y M.L. Martínez Alarcón (coord..), “Reforma constitucional y estabilidad presupuestaria. El artículo 135 de la Constitución Española”, CEPC, Madrid, 2013, págs. 235-286.</w:t>
      </w:r>
    </w:p>
    <w:p w14:paraId="5D3E546B" w14:textId="77777777" w:rsidR="00D20025" w:rsidRDefault="00D20025" w:rsidP="00D20025">
      <w:pPr>
        <w:pStyle w:val="Prrafodelista"/>
        <w:jc w:val="both"/>
        <w:rPr>
          <w:spacing w:val="-3"/>
          <w:sz w:val="24"/>
        </w:rPr>
      </w:pPr>
    </w:p>
    <w:p w14:paraId="3B397E17" w14:textId="77777777" w:rsidR="00D20025" w:rsidRDefault="00D20025" w:rsidP="00D20025">
      <w:pPr>
        <w:pStyle w:val="Prrafodelista"/>
        <w:numPr>
          <w:ilvl w:val="0"/>
          <w:numId w:val="1"/>
        </w:numPr>
        <w:jc w:val="both"/>
        <w:rPr>
          <w:spacing w:val="-3"/>
          <w:sz w:val="24"/>
        </w:rPr>
      </w:pPr>
      <w:r w:rsidRPr="00D20025">
        <w:rPr>
          <w:spacing w:val="-3"/>
          <w:sz w:val="24"/>
        </w:rPr>
        <w:t>Introducción al Derecho del Trabajo d</w:t>
      </w:r>
      <w:bookmarkStart w:id="0" w:name="_GoBack"/>
      <w:bookmarkEnd w:id="0"/>
      <w:r w:rsidRPr="00D20025">
        <w:rPr>
          <w:spacing w:val="-3"/>
          <w:sz w:val="24"/>
        </w:rPr>
        <w:t xml:space="preserve">e M. Alonso Olea, 7ª ed. revisada y ampliada, </w:t>
      </w:r>
      <w:proofErr w:type="spellStart"/>
      <w:r w:rsidRPr="00D20025">
        <w:rPr>
          <w:spacing w:val="-3"/>
          <w:sz w:val="24"/>
        </w:rPr>
        <w:t>Civitas</w:t>
      </w:r>
      <w:proofErr w:type="spellEnd"/>
      <w:r w:rsidRPr="00D20025">
        <w:rPr>
          <w:spacing w:val="-3"/>
          <w:sz w:val="24"/>
        </w:rPr>
        <w:t>, Navarra, 2013.</w:t>
      </w:r>
    </w:p>
    <w:p w14:paraId="27A6FD71" w14:textId="77777777" w:rsidR="00D20025" w:rsidRPr="00D20025" w:rsidRDefault="00D20025" w:rsidP="00D20025">
      <w:pPr>
        <w:jc w:val="both"/>
        <w:rPr>
          <w:spacing w:val="-3"/>
          <w:sz w:val="24"/>
          <w:szCs w:val="24"/>
          <w:lang w:val="es-ES_tradnl"/>
        </w:rPr>
      </w:pPr>
    </w:p>
    <w:p w14:paraId="4C559DA9" w14:textId="77777777" w:rsidR="00D20025" w:rsidRPr="00D20025" w:rsidRDefault="00D20025" w:rsidP="00D20025">
      <w:pPr>
        <w:pStyle w:val="Prrafodelista"/>
        <w:numPr>
          <w:ilvl w:val="0"/>
          <w:numId w:val="1"/>
        </w:numPr>
        <w:jc w:val="both"/>
        <w:rPr>
          <w:spacing w:val="-3"/>
          <w:sz w:val="24"/>
        </w:rPr>
      </w:pPr>
      <w:r w:rsidRPr="00D20025">
        <w:rPr>
          <w:spacing w:val="-3"/>
          <w:sz w:val="24"/>
          <w:szCs w:val="24"/>
          <w:lang w:val="es-ES_tradnl"/>
        </w:rPr>
        <w:t xml:space="preserve"> “Jurisdicción y competencia del orden social”, Lecciones de Jurisdicción Social, Tirant lo Blanch, Valencia, 2013, págs.. 49 a 108 (ISBN 9788490339015).</w:t>
      </w:r>
    </w:p>
    <w:p w14:paraId="0B8E2C6C" w14:textId="77777777" w:rsidR="00D20025" w:rsidRPr="00D20025" w:rsidRDefault="00D20025" w:rsidP="00D20025">
      <w:pPr>
        <w:jc w:val="both"/>
        <w:rPr>
          <w:spacing w:val="-3"/>
          <w:sz w:val="24"/>
        </w:rPr>
      </w:pPr>
    </w:p>
    <w:p w14:paraId="684ADE69" w14:textId="77777777" w:rsidR="00D20025" w:rsidRDefault="00D20025" w:rsidP="00D20025">
      <w:pPr>
        <w:pStyle w:val="Prrafodelista"/>
        <w:numPr>
          <w:ilvl w:val="0"/>
          <w:numId w:val="1"/>
        </w:numPr>
        <w:jc w:val="both"/>
        <w:rPr>
          <w:spacing w:val="-3"/>
          <w:sz w:val="24"/>
        </w:rPr>
      </w:pPr>
      <w:r w:rsidRPr="00D20025">
        <w:rPr>
          <w:spacing w:val="-3"/>
          <w:sz w:val="24"/>
        </w:rPr>
        <w:t xml:space="preserve"> “La eficacia y la eficiencia del Derecho del Trabajo: reflexiones sobre un Derecho cuestionado por la economía y el desempleo”, en Relaciones Laborales, núm. 10, 2014, págs.15-44.</w:t>
      </w:r>
    </w:p>
    <w:p w14:paraId="1B433E4F" w14:textId="77777777" w:rsidR="00D20025" w:rsidRPr="00D20025" w:rsidRDefault="00D20025" w:rsidP="00D20025">
      <w:pPr>
        <w:jc w:val="both"/>
        <w:rPr>
          <w:spacing w:val="-3"/>
          <w:sz w:val="24"/>
        </w:rPr>
      </w:pPr>
    </w:p>
    <w:p w14:paraId="7DBA2035" w14:textId="77777777" w:rsidR="00D20025" w:rsidRDefault="00D20025" w:rsidP="00D20025">
      <w:pPr>
        <w:pStyle w:val="Prrafodelista"/>
        <w:numPr>
          <w:ilvl w:val="0"/>
          <w:numId w:val="1"/>
        </w:numPr>
        <w:jc w:val="both"/>
        <w:rPr>
          <w:spacing w:val="-3"/>
          <w:sz w:val="24"/>
        </w:rPr>
      </w:pPr>
      <w:r w:rsidRPr="00D20025">
        <w:rPr>
          <w:spacing w:val="-3"/>
          <w:sz w:val="24"/>
        </w:rPr>
        <w:t xml:space="preserve"> “Reforma de la negociación colectiva en España y sistema de relaciones laborales”, Cuaderno de Relaciones Laborales. Dinámicas de la negociación colectiva, vol.32, núm. 2, julio-diciembre de 2014, págs. 275-309.</w:t>
      </w:r>
    </w:p>
    <w:p w14:paraId="68728457" w14:textId="77777777" w:rsidR="00D20025" w:rsidRPr="00D20025" w:rsidRDefault="00D20025" w:rsidP="00D20025">
      <w:pPr>
        <w:jc w:val="both"/>
        <w:rPr>
          <w:spacing w:val="-3"/>
          <w:sz w:val="24"/>
        </w:rPr>
      </w:pPr>
    </w:p>
    <w:p w14:paraId="0C4BFDD0" w14:textId="77777777" w:rsidR="00D20025" w:rsidRDefault="00D20025" w:rsidP="00D20025">
      <w:pPr>
        <w:pStyle w:val="Prrafodelista"/>
        <w:numPr>
          <w:ilvl w:val="0"/>
          <w:numId w:val="1"/>
        </w:numPr>
        <w:jc w:val="both"/>
        <w:rPr>
          <w:spacing w:val="-3"/>
          <w:sz w:val="24"/>
        </w:rPr>
      </w:pPr>
      <w:r w:rsidRPr="00D20025">
        <w:rPr>
          <w:spacing w:val="-3"/>
          <w:sz w:val="24"/>
        </w:rPr>
        <w:t xml:space="preserve"> “Huelga en servicios esenciales para la comunidad y responsabilidad política. Y sobre la declaración del estado de alarma por causa de huelga”, Revista Jurídica de Catalunya, núm. 3, 2014, págs. 585-622.</w:t>
      </w:r>
    </w:p>
    <w:p w14:paraId="5A54BFDF" w14:textId="77777777" w:rsidR="00D20025" w:rsidRPr="00D20025" w:rsidRDefault="00D20025" w:rsidP="00D20025">
      <w:pPr>
        <w:jc w:val="both"/>
        <w:rPr>
          <w:spacing w:val="-3"/>
          <w:sz w:val="24"/>
        </w:rPr>
      </w:pPr>
    </w:p>
    <w:p w14:paraId="0051A768" w14:textId="77777777" w:rsidR="00D20025" w:rsidRPr="00D20025" w:rsidRDefault="00D20025" w:rsidP="00D20025">
      <w:pPr>
        <w:pStyle w:val="Prrafodelista"/>
        <w:numPr>
          <w:ilvl w:val="0"/>
          <w:numId w:val="1"/>
        </w:numPr>
        <w:jc w:val="both"/>
        <w:rPr>
          <w:spacing w:val="-3"/>
          <w:sz w:val="24"/>
        </w:rPr>
      </w:pPr>
      <w:r w:rsidRPr="00D20025">
        <w:rPr>
          <w:spacing w:val="-3"/>
          <w:sz w:val="24"/>
        </w:rPr>
        <w:t xml:space="preserve"> “La rigidez de la ley laboral </w:t>
      </w:r>
      <w:proofErr w:type="spellStart"/>
      <w:r w:rsidRPr="00D20025">
        <w:rPr>
          <w:spacing w:val="-3"/>
          <w:sz w:val="24"/>
        </w:rPr>
        <w:t>flexibilizadora</w:t>
      </w:r>
      <w:proofErr w:type="spellEnd"/>
      <w:r w:rsidRPr="00D20025">
        <w:rPr>
          <w:spacing w:val="-3"/>
          <w:sz w:val="24"/>
        </w:rPr>
        <w:t>”, en Transformaciones del Estado Social y Derecho del Trabajo, M. Ramos y G. Rojas (</w:t>
      </w:r>
      <w:proofErr w:type="spellStart"/>
      <w:r w:rsidRPr="00D20025">
        <w:rPr>
          <w:spacing w:val="-3"/>
          <w:sz w:val="24"/>
        </w:rPr>
        <w:t>coords</w:t>
      </w:r>
      <w:proofErr w:type="spellEnd"/>
      <w:r w:rsidRPr="00D20025">
        <w:rPr>
          <w:spacing w:val="-3"/>
          <w:sz w:val="24"/>
        </w:rPr>
        <w:t xml:space="preserve">.). Ed. </w:t>
      </w:r>
      <w:proofErr w:type="spellStart"/>
      <w:r w:rsidRPr="00D20025">
        <w:rPr>
          <w:spacing w:val="-3"/>
          <w:sz w:val="24"/>
        </w:rPr>
        <w:t>Comares</w:t>
      </w:r>
      <w:proofErr w:type="spellEnd"/>
      <w:r w:rsidRPr="00D20025">
        <w:rPr>
          <w:spacing w:val="-3"/>
          <w:sz w:val="24"/>
        </w:rPr>
        <w:t>, Granada, 2014, págs. 63-98.</w:t>
      </w:r>
    </w:p>
    <w:p w14:paraId="578FE8A4" w14:textId="77777777" w:rsidR="00D20025" w:rsidRDefault="00D20025" w:rsidP="00D20025">
      <w:pPr>
        <w:pStyle w:val="Prrafodelista"/>
        <w:jc w:val="both"/>
        <w:rPr>
          <w:spacing w:val="-3"/>
          <w:sz w:val="24"/>
        </w:rPr>
      </w:pPr>
    </w:p>
    <w:p w14:paraId="46DCCDB2" w14:textId="77777777" w:rsidR="00FC74E5" w:rsidRPr="00FC74E5" w:rsidRDefault="00FC74E5" w:rsidP="00FC74E5">
      <w:pPr>
        <w:pStyle w:val="Prrafodelista"/>
        <w:numPr>
          <w:ilvl w:val="0"/>
          <w:numId w:val="1"/>
        </w:numPr>
        <w:jc w:val="both"/>
        <w:rPr>
          <w:spacing w:val="-3"/>
          <w:sz w:val="24"/>
        </w:rPr>
      </w:pPr>
      <w:r w:rsidRPr="00FC74E5">
        <w:rPr>
          <w:spacing w:val="-3"/>
          <w:sz w:val="24"/>
        </w:rPr>
        <w:t xml:space="preserve"> “Transparencia de los sindicatos y de las asociaciones empresariales”, en Relaciones Laborales, núm. 12, 2014, págs. 13-48.</w:t>
      </w:r>
    </w:p>
    <w:p w14:paraId="1FCC0008" w14:textId="77777777" w:rsidR="00FC74E5" w:rsidRDefault="00FC74E5" w:rsidP="00FC74E5">
      <w:pPr>
        <w:jc w:val="both"/>
        <w:rPr>
          <w:spacing w:val="-3"/>
          <w:sz w:val="24"/>
        </w:rPr>
      </w:pPr>
    </w:p>
    <w:p w14:paraId="7029E8A1" w14:textId="77777777" w:rsidR="00FC74E5" w:rsidRPr="00FC74E5" w:rsidRDefault="00FC74E5" w:rsidP="00FC74E5">
      <w:pPr>
        <w:pStyle w:val="Prrafodelista"/>
        <w:numPr>
          <w:ilvl w:val="0"/>
          <w:numId w:val="1"/>
        </w:numPr>
        <w:jc w:val="both"/>
        <w:rPr>
          <w:spacing w:val="-3"/>
          <w:sz w:val="24"/>
        </w:rPr>
      </w:pPr>
      <w:r w:rsidRPr="00FC74E5">
        <w:rPr>
          <w:spacing w:val="-3"/>
          <w:sz w:val="24"/>
        </w:rPr>
        <w:t xml:space="preserve">El fracaso del empleo y el estímulo de su </w:t>
      </w:r>
      <w:proofErr w:type="spellStart"/>
      <w:r w:rsidRPr="00FC74E5">
        <w:rPr>
          <w:spacing w:val="-3"/>
          <w:sz w:val="24"/>
        </w:rPr>
        <w:t>laboralidad</w:t>
      </w:r>
      <w:proofErr w:type="spellEnd"/>
      <w:r w:rsidRPr="00FC74E5">
        <w:rPr>
          <w:spacing w:val="-3"/>
          <w:sz w:val="24"/>
        </w:rPr>
        <w:t>”, en Los buenos empleos. Temas para el debate, núm. 245, 2015, págs. 40-43.</w:t>
      </w:r>
    </w:p>
    <w:p w14:paraId="12CE4B66" w14:textId="77777777" w:rsidR="00FC74E5" w:rsidRDefault="00FC74E5" w:rsidP="00FC74E5">
      <w:pPr>
        <w:jc w:val="both"/>
        <w:rPr>
          <w:spacing w:val="-3"/>
          <w:sz w:val="24"/>
        </w:rPr>
      </w:pPr>
    </w:p>
    <w:p w14:paraId="0F2F328B" w14:textId="77777777" w:rsidR="00FC74E5" w:rsidRDefault="00FC74E5" w:rsidP="00FC74E5">
      <w:pPr>
        <w:pStyle w:val="Prrafodelista"/>
        <w:numPr>
          <w:ilvl w:val="0"/>
          <w:numId w:val="1"/>
        </w:numPr>
        <w:jc w:val="both"/>
        <w:rPr>
          <w:spacing w:val="-3"/>
          <w:sz w:val="24"/>
        </w:rPr>
      </w:pPr>
      <w:r w:rsidRPr="00FC74E5">
        <w:rPr>
          <w:spacing w:val="-3"/>
          <w:sz w:val="24"/>
        </w:rPr>
        <w:t>Propuesta de herramientas convencionales para combatir la brecha salarial por razón de sexo (con B. Quintanilla, R. Menéndez y J.M. Serrano), UGT, Madrid, 2015.</w:t>
      </w:r>
    </w:p>
    <w:p w14:paraId="20B2B199" w14:textId="77777777" w:rsidR="00FC74E5" w:rsidRPr="00FC74E5" w:rsidRDefault="00D20025" w:rsidP="00D20025">
      <w:pPr>
        <w:tabs>
          <w:tab w:val="left" w:pos="7720"/>
        </w:tabs>
        <w:jc w:val="both"/>
        <w:rPr>
          <w:spacing w:val="-3"/>
          <w:sz w:val="24"/>
        </w:rPr>
      </w:pPr>
      <w:r>
        <w:rPr>
          <w:spacing w:val="-3"/>
          <w:sz w:val="24"/>
        </w:rPr>
        <w:tab/>
      </w:r>
    </w:p>
    <w:p w14:paraId="02540FC8" w14:textId="77777777" w:rsidR="00FC74E5" w:rsidRPr="00FC74E5" w:rsidRDefault="00FC74E5" w:rsidP="00FC74E5">
      <w:pPr>
        <w:pStyle w:val="Prrafodelista"/>
        <w:numPr>
          <w:ilvl w:val="0"/>
          <w:numId w:val="1"/>
        </w:numPr>
        <w:jc w:val="both"/>
        <w:rPr>
          <w:spacing w:val="-3"/>
          <w:sz w:val="24"/>
        </w:rPr>
      </w:pPr>
      <w:r w:rsidRPr="00FC74E5">
        <w:rPr>
          <w:spacing w:val="-3"/>
          <w:sz w:val="24"/>
        </w:rPr>
        <w:t>“</w:t>
      </w:r>
      <w:r w:rsidRPr="00FC74E5">
        <w:rPr>
          <w:spacing w:val="-3"/>
          <w:sz w:val="24"/>
          <w:szCs w:val="24"/>
          <w:lang w:val="es-ES_tradnl"/>
        </w:rPr>
        <w:t>Unidades de cálculo de los umbrales numéricos del despido colectivo, el centro de trabajo y la empresa. Los efectos de la sentencia del Tribunal de Justicia Rabal Cañas”, Derecho de las Relaciones Laborales, nº 4, 2015, págs. 373-400.</w:t>
      </w:r>
    </w:p>
    <w:p w14:paraId="6DEE0CEC" w14:textId="77777777" w:rsidR="00FC74E5" w:rsidRPr="00FC74E5" w:rsidRDefault="00FC74E5" w:rsidP="00FC74E5">
      <w:pPr>
        <w:jc w:val="both"/>
        <w:rPr>
          <w:spacing w:val="-3"/>
          <w:sz w:val="24"/>
          <w:szCs w:val="24"/>
          <w:lang w:val="es-ES_tradnl"/>
        </w:rPr>
      </w:pPr>
    </w:p>
    <w:p w14:paraId="6072AC73" w14:textId="77777777" w:rsidR="00FC74E5" w:rsidRPr="00FC74E5" w:rsidRDefault="00FC74E5" w:rsidP="00FC74E5">
      <w:pPr>
        <w:pStyle w:val="Prrafodelista"/>
        <w:numPr>
          <w:ilvl w:val="0"/>
          <w:numId w:val="1"/>
        </w:numPr>
        <w:jc w:val="both"/>
        <w:rPr>
          <w:spacing w:val="-3"/>
          <w:sz w:val="24"/>
        </w:rPr>
      </w:pPr>
      <w:r w:rsidRPr="00FC74E5">
        <w:rPr>
          <w:spacing w:val="-3"/>
          <w:sz w:val="24"/>
          <w:szCs w:val="24"/>
          <w:lang w:val="es-ES_tradnl"/>
        </w:rPr>
        <w:t xml:space="preserve"> “El Derecho del Trabajo ante las nuevas formas de trabajo”, Derecho de las Relaciones Laborales, nº 7, 2015, págs. 709-719.</w:t>
      </w:r>
    </w:p>
    <w:p w14:paraId="2A4EAC25" w14:textId="77777777" w:rsidR="00FC74E5" w:rsidRPr="00FC74E5" w:rsidRDefault="00FC74E5" w:rsidP="00FC74E5">
      <w:pPr>
        <w:jc w:val="both"/>
        <w:rPr>
          <w:spacing w:val="-3"/>
          <w:sz w:val="24"/>
          <w:szCs w:val="24"/>
          <w:lang w:val="es-ES_tradnl"/>
        </w:rPr>
      </w:pPr>
    </w:p>
    <w:p w14:paraId="272EBE4A" w14:textId="77777777" w:rsidR="00FC74E5" w:rsidRPr="00FC74E5" w:rsidRDefault="00FC74E5" w:rsidP="00FC74E5">
      <w:pPr>
        <w:pStyle w:val="Prrafodelista"/>
        <w:numPr>
          <w:ilvl w:val="0"/>
          <w:numId w:val="1"/>
        </w:numPr>
        <w:jc w:val="both"/>
        <w:rPr>
          <w:spacing w:val="-3"/>
          <w:sz w:val="24"/>
        </w:rPr>
      </w:pPr>
      <w:r w:rsidRPr="00FC74E5">
        <w:rPr>
          <w:spacing w:val="-3"/>
          <w:sz w:val="24"/>
          <w:szCs w:val="24"/>
          <w:lang w:val="es-ES_tradnl"/>
        </w:rPr>
        <w:lastRenderedPageBreak/>
        <w:t xml:space="preserve"> “Nuevo texto refundido de la Ley del Estatuto Básico del Empleado Público”, Derecho de las Relaciones Laborales, nº 8, 2015, págs. 872-888.</w:t>
      </w:r>
    </w:p>
    <w:p w14:paraId="4746F539" w14:textId="77777777" w:rsidR="00FC74E5" w:rsidRPr="00FC74E5" w:rsidRDefault="00FC74E5" w:rsidP="00FC74E5">
      <w:pPr>
        <w:jc w:val="both"/>
        <w:rPr>
          <w:spacing w:val="-3"/>
          <w:sz w:val="24"/>
          <w:szCs w:val="24"/>
          <w:lang w:val="es-ES_tradnl"/>
        </w:rPr>
      </w:pPr>
    </w:p>
    <w:p w14:paraId="083A6B78" w14:textId="77777777" w:rsidR="00FC74E5" w:rsidRPr="00FC74E5" w:rsidRDefault="00FC74E5" w:rsidP="00FC74E5">
      <w:pPr>
        <w:pStyle w:val="Prrafodelista"/>
        <w:numPr>
          <w:ilvl w:val="0"/>
          <w:numId w:val="1"/>
        </w:numPr>
        <w:jc w:val="both"/>
        <w:rPr>
          <w:spacing w:val="-3"/>
          <w:sz w:val="24"/>
        </w:rPr>
      </w:pPr>
      <w:r w:rsidRPr="00FC74E5">
        <w:rPr>
          <w:spacing w:val="-3"/>
          <w:sz w:val="24"/>
          <w:szCs w:val="24"/>
          <w:lang w:val="es-ES_tradnl"/>
        </w:rPr>
        <w:t xml:space="preserve"> “La prioridad aplicativa de los convenios colectivos de empresa”, en Los convenios de empresa de nueva creación tras la reforma laboral de 2012, </w:t>
      </w:r>
      <w:proofErr w:type="spellStart"/>
      <w:r w:rsidRPr="00FC74E5">
        <w:rPr>
          <w:spacing w:val="-3"/>
          <w:sz w:val="24"/>
          <w:szCs w:val="24"/>
          <w:lang w:val="es-ES_tradnl"/>
        </w:rPr>
        <w:t>Lefebvre</w:t>
      </w:r>
      <w:proofErr w:type="spellEnd"/>
      <w:r w:rsidRPr="00FC74E5">
        <w:rPr>
          <w:spacing w:val="-3"/>
          <w:sz w:val="24"/>
          <w:szCs w:val="24"/>
          <w:lang w:val="es-ES_tradnl"/>
        </w:rPr>
        <w:t xml:space="preserve"> El Derecho, Madrid, 2016, págs. 13 a 75 (ISBN 9788416612284).</w:t>
      </w:r>
    </w:p>
    <w:p w14:paraId="44399351" w14:textId="77777777" w:rsidR="00FC74E5" w:rsidRPr="00FC74E5" w:rsidRDefault="00FC74E5" w:rsidP="00FC74E5">
      <w:pPr>
        <w:jc w:val="both"/>
        <w:rPr>
          <w:spacing w:val="-3"/>
          <w:sz w:val="24"/>
          <w:szCs w:val="24"/>
          <w:lang w:val="es-ES_tradnl"/>
        </w:rPr>
      </w:pPr>
    </w:p>
    <w:p w14:paraId="6FD55128" w14:textId="77777777" w:rsidR="00FC74E5" w:rsidRPr="00FC74E5" w:rsidRDefault="00FC74E5" w:rsidP="00FC74E5">
      <w:pPr>
        <w:pStyle w:val="Prrafodelista"/>
        <w:numPr>
          <w:ilvl w:val="0"/>
          <w:numId w:val="1"/>
        </w:numPr>
        <w:jc w:val="both"/>
        <w:rPr>
          <w:spacing w:val="-3"/>
          <w:sz w:val="24"/>
        </w:rPr>
      </w:pPr>
      <w:r w:rsidRPr="00FC74E5">
        <w:rPr>
          <w:spacing w:val="-3"/>
          <w:sz w:val="24"/>
          <w:szCs w:val="24"/>
          <w:lang w:val="es-ES_tradnl"/>
        </w:rPr>
        <w:t xml:space="preserve"> “La igualdad de trato en la contratación temporal, el derecho de los trabajadores interinos a indemnización por la finalización de su contrato por causa objetiva y los encadenamientos abusivos de contratos y relaciones de servicios temporales en las Administraciones públicas españolas. Las sentencias del Tribunal de Justicia de la Unión Europea de 14 de septiembre de 2016”, Derecho de las Relaciones Laborales, nº 9, 2016, págs. 838 – 872 (con M. RODRÍGUEZ-PIÑERO).</w:t>
      </w:r>
    </w:p>
    <w:p w14:paraId="6597575A" w14:textId="77777777" w:rsidR="00FC74E5" w:rsidRPr="00FC74E5" w:rsidRDefault="00FC74E5" w:rsidP="00FC74E5">
      <w:pPr>
        <w:jc w:val="both"/>
        <w:rPr>
          <w:spacing w:val="-3"/>
          <w:sz w:val="24"/>
          <w:szCs w:val="24"/>
          <w:lang w:val="es-ES_tradnl"/>
        </w:rPr>
      </w:pPr>
    </w:p>
    <w:p w14:paraId="79FF0038" w14:textId="77777777" w:rsidR="00FC74E5" w:rsidRPr="00FC74E5" w:rsidRDefault="00FC74E5" w:rsidP="00FC74E5">
      <w:pPr>
        <w:pStyle w:val="Prrafodelista"/>
        <w:numPr>
          <w:ilvl w:val="0"/>
          <w:numId w:val="1"/>
        </w:numPr>
        <w:jc w:val="both"/>
        <w:rPr>
          <w:spacing w:val="-3"/>
          <w:sz w:val="24"/>
        </w:rPr>
      </w:pPr>
      <w:r w:rsidRPr="00FC74E5">
        <w:rPr>
          <w:spacing w:val="-3"/>
          <w:sz w:val="24"/>
          <w:szCs w:val="24"/>
          <w:lang w:val="es-ES_tradnl"/>
        </w:rPr>
        <w:t xml:space="preserve"> “Jurisdicción y competencia del orden social”, Lecciones de Jurisdicción Social, Tirant lo Blanch, Valencia, 2ª ed., 2016, págs.. 49 a 109 (ISBN 9788491197522).</w:t>
      </w:r>
    </w:p>
    <w:p w14:paraId="46B84D18" w14:textId="77777777" w:rsidR="00FC74E5" w:rsidRPr="00FC74E5" w:rsidRDefault="00FC74E5" w:rsidP="00FC74E5">
      <w:pPr>
        <w:jc w:val="both"/>
        <w:rPr>
          <w:spacing w:val="-3"/>
          <w:sz w:val="24"/>
        </w:rPr>
      </w:pPr>
    </w:p>
    <w:p w14:paraId="27726929" w14:textId="77777777" w:rsidR="00FC74E5" w:rsidRDefault="00FC74E5" w:rsidP="00FC74E5">
      <w:pPr>
        <w:pStyle w:val="Prrafodelista"/>
        <w:numPr>
          <w:ilvl w:val="0"/>
          <w:numId w:val="1"/>
        </w:numPr>
        <w:jc w:val="both"/>
        <w:rPr>
          <w:spacing w:val="-3"/>
          <w:sz w:val="24"/>
        </w:rPr>
      </w:pPr>
      <w:r w:rsidRPr="00FC74E5">
        <w:rPr>
          <w:spacing w:val="-3"/>
          <w:sz w:val="24"/>
        </w:rPr>
        <w:t xml:space="preserve"> “Por un nuevo marco legislativo laboral. Conclusiones del grupo Fide sobre una nueva ordenación legal consensuada del trabajo y de las relaciones laborales”, Derecho de las Relaciones Laborales, núm. 11, diciembre de 2016, págs. 1069-1077.</w:t>
      </w:r>
    </w:p>
    <w:p w14:paraId="6B3922C2" w14:textId="77777777" w:rsidR="00FC74E5" w:rsidRPr="00FC74E5" w:rsidRDefault="00FC74E5" w:rsidP="00FC74E5">
      <w:pPr>
        <w:jc w:val="both"/>
        <w:rPr>
          <w:spacing w:val="-3"/>
          <w:sz w:val="24"/>
        </w:rPr>
      </w:pPr>
    </w:p>
    <w:p w14:paraId="09F756A7" w14:textId="77777777" w:rsidR="00FC74E5" w:rsidRPr="00FC74E5" w:rsidRDefault="00FC74E5" w:rsidP="00FC74E5">
      <w:pPr>
        <w:pStyle w:val="Prrafodelista"/>
        <w:numPr>
          <w:ilvl w:val="0"/>
          <w:numId w:val="1"/>
        </w:numPr>
        <w:jc w:val="both"/>
        <w:rPr>
          <w:spacing w:val="-3"/>
          <w:sz w:val="24"/>
        </w:rPr>
      </w:pPr>
      <w:r w:rsidRPr="00FC74E5">
        <w:rPr>
          <w:spacing w:val="-3"/>
          <w:sz w:val="24"/>
        </w:rPr>
        <w:t xml:space="preserve"> “¿Derechos fundamentales específicos de las mujeres?”, Derecho de las Relaciones Laborales, núm. 1, enero de 2017, págs. 1-16</w:t>
      </w:r>
    </w:p>
    <w:p w14:paraId="70C406FA" w14:textId="77777777" w:rsidR="006B2C07" w:rsidRDefault="00D20025"/>
    <w:sectPr w:rsidR="006B2C07" w:rsidSect="001832D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40A4D"/>
    <w:multiLevelType w:val="hybridMultilevel"/>
    <w:tmpl w:val="3320A0FE"/>
    <w:lvl w:ilvl="0" w:tplc="672EC9DA">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E5"/>
    <w:rsid w:val="001832D2"/>
    <w:rsid w:val="008317EF"/>
    <w:rsid w:val="00A50CC2"/>
    <w:rsid w:val="00D20025"/>
    <w:rsid w:val="00FC74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DD47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E5"/>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2992</Characters>
  <Application>Microsoft Macintosh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Quiroga Pardo</dc:creator>
  <cp:keywords/>
  <dc:description/>
  <cp:lastModifiedBy>Maria Jesus Quiroga Pardo</cp:lastModifiedBy>
  <cp:revision>1</cp:revision>
  <dcterms:created xsi:type="dcterms:W3CDTF">2019-04-24T08:16:00Z</dcterms:created>
  <dcterms:modified xsi:type="dcterms:W3CDTF">2019-04-24T08:30:00Z</dcterms:modified>
</cp:coreProperties>
</file>