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A1" w:rsidRPr="00C6672D" w:rsidRDefault="009755A1" w:rsidP="009755A1">
      <w:pPr>
        <w:jc w:val="center"/>
        <w:rPr>
          <w:b/>
          <w:color w:val="0070C0"/>
          <w:sz w:val="32"/>
          <w:szCs w:val="32"/>
          <w:u w:val="single"/>
        </w:rPr>
      </w:pPr>
      <w:r>
        <w:rPr>
          <w:b/>
          <w:color w:val="0070C0"/>
          <w:sz w:val="32"/>
          <w:szCs w:val="32"/>
          <w:u w:val="single"/>
        </w:rPr>
        <w:t>TITULAR2</w:t>
      </w:r>
    </w:p>
    <w:p w:rsidR="009755A1" w:rsidRDefault="009755A1" w:rsidP="009755A1"/>
    <w:tbl>
      <w:tblPr>
        <w:tblStyle w:val="Tablaconcuadrcula"/>
        <w:tblW w:w="0" w:type="auto"/>
        <w:tblLayout w:type="fixed"/>
        <w:tblLook w:val="04A0"/>
      </w:tblPr>
      <w:tblGrid>
        <w:gridCol w:w="1560"/>
        <w:gridCol w:w="5811"/>
        <w:gridCol w:w="1123"/>
      </w:tblGrid>
      <w:tr w:rsidR="009755A1" w:rsidTr="00773C5D"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9755A1" w:rsidRPr="00E12336" w:rsidRDefault="009755A1" w:rsidP="00773C5D">
            <w:pPr>
              <w:jc w:val="center"/>
              <w:rPr>
                <w:b/>
              </w:rPr>
            </w:pPr>
            <w:r w:rsidRPr="00E12336">
              <w:rPr>
                <w:b/>
              </w:rPr>
              <w:t>TABLA DE CUALIFICACIÓN DOCENTE</w:t>
            </w:r>
          </w:p>
        </w:tc>
        <w:tc>
          <w:tcPr>
            <w:tcW w:w="1123" w:type="dxa"/>
          </w:tcPr>
          <w:p w:rsidR="009755A1" w:rsidRDefault="009755A1" w:rsidP="00773C5D">
            <w:r>
              <w:t>Nº ECTS</w:t>
            </w:r>
          </w:p>
        </w:tc>
      </w:tr>
      <w:tr w:rsidR="009755A1" w:rsidTr="00773C5D"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9755A1" w:rsidRPr="005E62DC" w:rsidRDefault="009755A1" w:rsidP="00773C5D">
            <w:pPr>
              <w:rPr>
                <w:caps/>
              </w:rPr>
            </w:pPr>
            <w:r w:rsidRPr="001D7F79">
              <w:rPr>
                <w:b/>
                <w:u w:val="single"/>
              </w:rPr>
              <w:t>MATERIA</w:t>
            </w:r>
            <w:r>
              <w:t xml:space="preserve">:  </w:t>
            </w:r>
            <w:r w:rsidRPr="005E62DC">
              <w:rPr>
                <w:caps/>
              </w:rPr>
              <w:t>Derecho común europeo</w:t>
            </w:r>
          </w:p>
          <w:p w:rsidR="009755A1" w:rsidRPr="005E62DC" w:rsidRDefault="009755A1" w:rsidP="00773C5D">
            <w:pPr>
              <w:rPr>
                <w:caps/>
              </w:rPr>
            </w:pPr>
            <w:r w:rsidRPr="005E62DC">
              <w:rPr>
                <w:caps/>
              </w:rPr>
              <w:t xml:space="preserve">                      Relaciones familiares y pluralismo jurídico</w:t>
            </w:r>
          </w:p>
          <w:p w:rsidR="009755A1" w:rsidRPr="005E62DC" w:rsidRDefault="009755A1" w:rsidP="00773C5D">
            <w:pPr>
              <w:rPr>
                <w:caps/>
              </w:rPr>
            </w:pPr>
            <w:r w:rsidRPr="005E62DC">
              <w:rPr>
                <w:caps/>
              </w:rPr>
              <w:t xml:space="preserve">                      Derecho y religiones</w:t>
            </w:r>
          </w:p>
          <w:p w:rsidR="009755A1" w:rsidRPr="00455C53" w:rsidRDefault="009755A1" w:rsidP="00773C5D">
            <w:pPr>
              <w:rPr>
                <w:b/>
              </w:rPr>
            </w:pPr>
          </w:p>
        </w:tc>
        <w:tc>
          <w:tcPr>
            <w:tcW w:w="1123" w:type="dxa"/>
          </w:tcPr>
          <w:p w:rsidR="009755A1" w:rsidRDefault="009755A1" w:rsidP="00773C5D"/>
          <w:p w:rsidR="009755A1" w:rsidRDefault="009755A1" w:rsidP="00773C5D"/>
        </w:tc>
      </w:tr>
      <w:tr w:rsidR="009755A1" w:rsidTr="00773C5D">
        <w:trPr>
          <w:trHeight w:val="469"/>
        </w:trPr>
        <w:tc>
          <w:tcPr>
            <w:tcW w:w="1560" w:type="dxa"/>
          </w:tcPr>
          <w:p w:rsidR="009755A1" w:rsidRDefault="009755A1" w:rsidP="00773C5D">
            <w:pPr>
              <w:rPr>
                <w:u w:val="single"/>
              </w:rPr>
            </w:pPr>
            <w:r w:rsidRPr="003A369F">
              <w:rPr>
                <w:u w:val="single"/>
              </w:rPr>
              <w:t>Perfil del profesor</w:t>
            </w:r>
          </w:p>
          <w:p w:rsidR="009755A1" w:rsidRDefault="009755A1" w:rsidP="00773C5D">
            <w:pPr>
              <w:rPr>
                <w:u w:val="single"/>
              </w:rPr>
            </w:pPr>
          </w:p>
          <w:p w:rsidR="009755A1" w:rsidRDefault="009755A1" w:rsidP="00773C5D">
            <w:pPr>
              <w:rPr>
                <w:u w:val="single"/>
              </w:rPr>
            </w:pPr>
          </w:p>
          <w:p w:rsidR="009755A1" w:rsidRDefault="009755A1" w:rsidP="00773C5D">
            <w:pPr>
              <w:rPr>
                <w:u w:val="single"/>
              </w:rPr>
            </w:pPr>
          </w:p>
          <w:p w:rsidR="009755A1" w:rsidRDefault="009755A1" w:rsidP="00773C5D">
            <w:pPr>
              <w:rPr>
                <w:u w:val="single"/>
              </w:rPr>
            </w:pPr>
          </w:p>
          <w:p w:rsidR="009755A1" w:rsidRDefault="009755A1" w:rsidP="00773C5D">
            <w:pPr>
              <w:rPr>
                <w:u w:val="single"/>
              </w:rPr>
            </w:pPr>
          </w:p>
          <w:p w:rsidR="009755A1" w:rsidRDefault="009755A1" w:rsidP="00773C5D">
            <w:pPr>
              <w:rPr>
                <w:u w:val="single"/>
              </w:rPr>
            </w:pPr>
          </w:p>
          <w:p w:rsidR="009755A1" w:rsidRDefault="009755A1" w:rsidP="00773C5D">
            <w:pPr>
              <w:rPr>
                <w:u w:val="single"/>
              </w:rPr>
            </w:pPr>
          </w:p>
          <w:p w:rsidR="009755A1" w:rsidRPr="003A369F" w:rsidRDefault="009755A1" w:rsidP="00773C5D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9755A1" w:rsidRDefault="009755A1" w:rsidP="00773C5D">
            <w:r>
              <w:t xml:space="preserve">Experto en </w:t>
            </w:r>
          </w:p>
          <w:p w:rsidR="009755A1" w:rsidRDefault="009755A1" w:rsidP="009755A1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Historia de las relaciones Estado-Iglesia</w:t>
            </w:r>
          </w:p>
          <w:p w:rsidR="009755A1" w:rsidRDefault="009755A1" w:rsidP="009755A1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Evolución histórica del sistema matrimonial español</w:t>
            </w:r>
          </w:p>
          <w:p w:rsidR="009755A1" w:rsidRDefault="009755A1" w:rsidP="009755A1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Evolución del derecho al matrimonio en derecho europeo</w:t>
            </w:r>
          </w:p>
          <w:p w:rsidR="009755A1" w:rsidRDefault="009755A1" w:rsidP="009755A1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Igualdad y no discriminación religiosa</w:t>
            </w:r>
          </w:p>
          <w:p w:rsidR="009755A1" w:rsidRDefault="009755A1" w:rsidP="009755A1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Objeciones de conciencia</w:t>
            </w:r>
          </w:p>
          <w:p w:rsidR="009755A1" w:rsidRDefault="009755A1" w:rsidP="009755A1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Dignidad al final de la vida</w:t>
            </w:r>
          </w:p>
          <w:p w:rsidR="009755A1" w:rsidRDefault="009755A1" w:rsidP="00773C5D">
            <w:pPr>
              <w:pStyle w:val="Prrafodelista"/>
            </w:pPr>
            <w:r>
              <w:t xml:space="preserve">            </w:t>
            </w:r>
          </w:p>
          <w:p w:rsidR="009755A1" w:rsidRDefault="009755A1" w:rsidP="00773C5D"/>
          <w:p w:rsidR="009755A1" w:rsidRDefault="009755A1" w:rsidP="00773C5D"/>
          <w:p w:rsidR="009755A1" w:rsidRDefault="009755A1" w:rsidP="00773C5D">
            <w:r>
              <w:t>Experiencia investigadora:</w:t>
            </w:r>
          </w:p>
          <w:p w:rsidR="009755A1" w:rsidRDefault="009755A1" w:rsidP="00702CA1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Publicación de artículos en revistas científicas en materia de Derecho Eclesiástico del Estado, Derecho matrimonial comparado e Historia de las Relaciones Estado-Iglesias</w:t>
            </w:r>
          </w:p>
          <w:p w:rsidR="00702CA1" w:rsidRDefault="00702CA1" w:rsidP="00702CA1">
            <w:pPr>
              <w:spacing w:after="0" w:line="240" w:lineRule="auto"/>
            </w:pPr>
          </w:p>
          <w:p w:rsidR="00702CA1" w:rsidRDefault="00702CA1" w:rsidP="00702CA1">
            <w:pPr>
              <w:spacing w:after="0" w:line="240" w:lineRule="auto"/>
            </w:pPr>
            <w:r>
              <w:t>3 Sexenios de investigación.</w:t>
            </w:r>
          </w:p>
          <w:p w:rsidR="00702CA1" w:rsidRDefault="00702CA1" w:rsidP="00702CA1">
            <w:pPr>
              <w:spacing w:after="0" w:line="240" w:lineRule="auto"/>
            </w:pPr>
          </w:p>
          <w:p w:rsidR="009755A1" w:rsidRDefault="009755A1" w:rsidP="00773C5D">
            <w:r>
              <w:t xml:space="preserve">Experiencia docente </w:t>
            </w:r>
          </w:p>
          <w:p w:rsidR="009755A1" w:rsidRDefault="009755A1" w:rsidP="009755A1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Docencia en Derecho Eclesiástico del Estado y Derecho matrimonial comparado, tanto en Licenciatura en Derecho como en la Doble Licenciatura en </w:t>
            </w:r>
            <w:proofErr w:type="spellStart"/>
            <w:r>
              <w:t>Derecho+ADE</w:t>
            </w:r>
            <w:proofErr w:type="spellEnd"/>
            <w:r>
              <w:t>, así como en el Grado en Derecho.</w:t>
            </w:r>
          </w:p>
          <w:p w:rsidR="009755A1" w:rsidRDefault="009755A1" w:rsidP="00773C5D"/>
          <w:p w:rsidR="009755A1" w:rsidRDefault="009755A1" w:rsidP="00773C5D"/>
        </w:tc>
      </w:tr>
      <w:tr w:rsidR="009755A1" w:rsidTr="00773C5D">
        <w:trPr>
          <w:trHeight w:val="871"/>
        </w:trPr>
        <w:tc>
          <w:tcPr>
            <w:tcW w:w="1560" w:type="dxa"/>
          </w:tcPr>
          <w:p w:rsidR="009755A1" w:rsidRDefault="009755A1" w:rsidP="00773C5D">
            <w:pPr>
              <w:rPr>
                <w:u w:val="single"/>
              </w:rPr>
            </w:pPr>
            <w:r w:rsidRPr="003A369F">
              <w:rPr>
                <w:u w:val="single"/>
              </w:rPr>
              <w:t>Líneas de investigación</w:t>
            </w:r>
          </w:p>
          <w:p w:rsidR="009755A1" w:rsidRDefault="009755A1" w:rsidP="00773C5D">
            <w:pPr>
              <w:rPr>
                <w:u w:val="single"/>
              </w:rPr>
            </w:pPr>
          </w:p>
          <w:p w:rsidR="009755A1" w:rsidRDefault="009755A1" w:rsidP="00773C5D">
            <w:pPr>
              <w:rPr>
                <w:u w:val="single"/>
              </w:rPr>
            </w:pPr>
          </w:p>
          <w:p w:rsidR="009755A1" w:rsidRDefault="009755A1" w:rsidP="00773C5D">
            <w:pPr>
              <w:rPr>
                <w:u w:val="single"/>
              </w:rPr>
            </w:pPr>
          </w:p>
          <w:p w:rsidR="009755A1" w:rsidRDefault="009755A1" w:rsidP="00773C5D">
            <w:pPr>
              <w:rPr>
                <w:u w:val="single"/>
              </w:rPr>
            </w:pPr>
          </w:p>
          <w:p w:rsidR="009755A1" w:rsidRDefault="009755A1" w:rsidP="00773C5D">
            <w:pPr>
              <w:rPr>
                <w:u w:val="single"/>
              </w:rPr>
            </w:pPr>
          </w:p>
          <w:p w:rsidR="009755A1" w:rsidRDefault="009755A1" w:rsidP="00773C5D">
            <w:pPr>
              <w:rPr>
                <w:u w:val="single"/>
              </w:rPr>
            </w:pPr>
          </w:p>
          <w:p w:rsidR="009755A1" w:rsidRDefault="009755A1" w:rsidP="00773C5D">
            <w:pPr>
              <w:rPr>
                <w:u w:val="single"/>
              </w:rPr>
            </w:pPr>
          </w:p>
          <w:p w:rsidR="009755A1" w:rsidRPr="003A369F" w:rsidRDefault="009755A1" w:rsidP="00773C5D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9755A1" w:rsidRDefault="009755A1" w:rsidP="009755A1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lastRenderedPageBreak/>
              <w:t>Historia de las relaciones entre Estado-Iglesia</w:t>
            </w:r>
          </w:p>
          <w:p w:rsidR="009755A1" w:rsidRDefault="009755A1" w:rsidP="009755A1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Las libertades fundamentales como seña esencial de identidad de la cultura jurídica en la Europa contemporánea.</w:t>
            </w:r>
          </w:p>
          <w:p w:rsidR="009755A1" w:rsidRDefault="009755A1" w:rsidP="009755A1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Igualdad y no discriminación en el ámbito laboral</w:t>
            </w:r>
          </w:p>
          <w:p w:rsidR="009755A1" w:rsidRDefault="009755A1" w:rsidP="009755A1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Simbología religiosa</w:t>
            </w:r>
          </w:p>
          <w:p w:rsidR="009755A1" w:rsidRDefault="009755A1" w:rsidP="009755A1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Objeciones de conciencia</w:t>
            </w:r>
          </w:p>
          <w:p w:rsidR="009755A1" w:rsidRDefault="009755A1" w:rsidP="009755A1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Evolución del derecho al matrimonio en el contexto europeo</w:t>
            </w:r>
          </w:p>
          <w:p w:rsidR="009755A1" w:rsidRDefault="009755A1" w:rsidP="009755A1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>Eficacia civil de los matrimonios religiosos en Derecho español</w:t>
            </w:r>
          </w:p>
          <w:p w:rsidR="009755A1" w:rsidRDefault="009755A1" w:rsidP="009755A1">
            <w:pPr>
              <w:pStyle w:val="Prrafodelista"/>
              <w:numPr>
                <w:ilvl w:val="0"/>
                <w:numId w:val="3"/>
              </w:numPr>
              <w:spacing w:after="0" w:line="240" w:lineRule="auto"/>
            </w:pPr>
            <w:r>
              <w:t xml:space="preserve">Reconocimiento de efectos a sentencias canónicas de nulidad en </w:t>
            </w:r>
            <w:r>
              <w:lastRenderedPageBreak/>
              <w:t>Derecho español y en Derecho comunitario europeo</w:t>
            </w:r>
          </w:p>
          <w:p w:rsidR="009755A1" w:rsidRDefault="009755A1" w:rsidP="00773C5D">
            <w:pPr>
              <w:pStyle w:val="Prrafodelista"/>
            </w:pPr>
          </w:p>
          <w:p w:rsidR="009755A1" w:rsidRDefault="009755A1" w:rsidP="00773C5D"/>
          <w:p w:rsidR="009755A1" w:rsidRDefault="009755A1" w:rsidP="00773C5D"/>
        </w:tc>
      </w:tr>
      <w:tr w:rsidR="009755A1" w:rsidTr="00773C5D">
        <w:trPr>
          <w:trHeight w:val="2266"/>
        </w:trPr>
        <w:tc>
          <w:tcPr>
            <w:tcW w:w="1560" w:type="dxa"/>
          </w:tcPr>
          <w:p w:rsidR="009755A1" w:rsidRDefault="009755A1" w:rsidP="00773C5D">
            <w:pPr>
              <w:rPr>
                <w:u w:val="single"/>
              </w:rPr>
            </w:pPr>
            <w:r w:rsidRPr="003A369F">
              <w:rPr>
                <w:u w:val="single"/>
              </w:rPr>
              <w:lastRenderedPageBreak/>
              <w:t>Proyectos</w:t>
            </w:r>
          </w:p>
          <w:p w:rsidR="009755A1" w:rsidRDefault="009755A1" w:rsidP="00773C5D">
            <w:pPr>
              <w:rPr>
                <w:u w:val="single"/>
              </w:rPr>
            </w:pPr>
          </w:p>
          <w:p w:rsidR="009755A1" w:rsidRDefault="009755A1" w:rsidP="00773C5D">
            <w:pPr>
              <w:rPr>
                <w:u w:val="single"/>
              </w:rPr>
            </w:pPr>
          </w:p>
          <w:p w:rsidR="009755A1" w:rsidRDefault="009755A1" w:rsidP="00773C5D">
            <w:pPr>
              <w:rPr>
                <w:u w:val="single"/>
              </w:rPr>
            </w:pPr>
          </w:p>
          <w:p w:rsidR="009755A1" w:rsidRDefault="009755A1" w:rsidP="00773C5D">
            <w:pPr>
              <w:rPr>
                <w:u w:val="single"/>
              </w:rPr>
            </w:pPr>
          </w:p>
          <w:p w:rsidR="009755A1" w:rsidRDefault="009755A1" w:rsidP="00773C5D">
            <w:pPr>
              <w:rPr>
                <w:u w:val="single"/>
              </w:rPr>
            </w:pPr>
          </w:p>
          <w:p w:rsidR="009755A1" w:rsidRDefault="009755A1" w:rsidP="00773C5D">
            <w:pPr>
              <w:rPr>
                <w:u w:val="single"/>
              </w:rPr>
            </w:pPr>
          </w:p>
          <w:p w:rsidR="009755A1" w:rsidRDefault="009755A1" w:rsidP="00773C5D">
            <w:pPr>
              <w:rPr>
                <w:u w:val="single"/>
              </w:rPr>
            </w:pPr>
          </w:p>
          <w:p w:rsidR="009755A1" w:rsidRPr="003A369F" w:rsidRDefault="009755A1" w:rsidP="00773C5D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9755A1" w:rsidRDefault="009755A1" w:rsidP="00773C5D">
            <w:r>
              <w:t>1. Una revisión crítica de la jurisprudencia de Estrasburgo y de su aplicación al Derecho español: religión, asociación, privacidad</w:t>
            </w:r>
          </w:p>
          <w:p w:rsidR="009755A1" w:rsidRDefault="009755A1" w:rsidP="00773C5D">
            <w:r>
              <w:t>Nº de investigadores/as: 5 (</w:t>
            </w:r>
            <w:proofErr w:type="spellStart"/>
            <w:r>
              <w:t>IPs</w:t>
            </w:r>
            <w:proofErr w:type="spellEnd"/>
            <w:r>
              <w:t xml:space="preserve"> J. Martínez-</w:t>
            </w:r>
            <w:proofErr w:type="spellStart"/>
            <w:r>
              <w:t>Torrón</w:t>
            </w:r>
            <w:proofErr w:type="spellEnd"/>
            <w:r>
              <w:t>, S. Cañamares)</w:t>
            </w:r>
          </w:p>
          <w:p w:rsidR="009755A1" w:rsidRDefault="009755A1" w:rsidP="00773C5D">
            <w:r>
              <w:t>Entidad/es financiadora/s: Ministerio de Economía y Competitividad</w:t>
            </w:r>
          </w:p>
          <w:p w:rsidR="009755A1" w:rsidRDefault="009755A1" w:rsidP="00773C5D">
            <w:r>
              <w:t xml:space="preserve">Fecha de inicio-fin: 01/01/2016 - 30/06/2019 </w:t>
            </w:r>
          </w:p>
          <w:p w:rsidR="009755A1" w:rsidRDefault="009755A1" w:rsidP="00773C5D"/>
          <w:p w:rsidR="009755A1" w:rsidRDefault="009755A1" w:rsidP="00773C5D">
            <w:r>
              <w:t>2. Neutralidad ideológico-religiosa del Estado y espacio público</w:t>
            </w:r>
          </w:p>
          <w:p w:rsidR="009755A1" w:rsidRDefault="009755A1" w:rsidP="00773C5D">
            <w:r>
              <w:t>Nº de investigadores/as: 7 IP (R. Palomino)</w:t>
            </w:r>
          </w:p>
          <w:p w:rsidR="009755A1" w:rsidRDefault="009755A1" w:rsidP="00773C5D">
            <w:r>
              <w:t>Entidad/es financiadora/s: MINISTERIO DE CIENCIA E INNOVACIÓN</w:t>
            </w:r>
          </w:p>
          <w:p w:rsidR="009755A1" w:rsidRDefault="009755A1" w:rsidP="00773C5D">
            <w:r>
              <w:t xml:space="preserve">Fecha de inicio-fin: 01/01/2012 - 21/12/2014 </w:t>
            </w:r>
          </w:p>
          <w:p w:rsidR="009755A1" w:rsidRPr="005E62DC" w:rsidRDefault="009755A1" w:rsidP="00773C5D"/>
          <w:p w:rsidR="009755A1" w:rsidRPr="005E62DC" w:rsidRDefault="009755A1" w:rsidP="00773C5D"/>
          <w:p w:rsidR="009755A1" w:rsidRDefault="009755A1" w:rsidP="00773C5D">
            <w:r w:rsidRPr="005E62DC">
              <w:t xml:space="preserve">3.  </w:t>
            </w:r>
            <w:proofErr w:type="spellStart"/>
            <w:r w:rsidRPr="005E62DC">
              <w:t>Religious</w:t>
            </w:r>
            <w:proofErr w:type="spellEnd"/>
            <w:r w:rsidRPr="005E62DC">
              <w:t xml:space="preserve"> </w:t>
            </w:r>
            <w:proofErr w:type="spellStart"/>
            <w:r w:rsidRPr="005E62DC">
              <w:t>diversity</w:t>
            </w:r>
            <w:proofErr w:type="spellEnd"/>
            <w:r w:rsidRPr="005E62DC">
              <w:t xml:space="preserve"> and secular </w:t>
            </w:r>
            <w:proofErr w:type="spellStart"/>
            <w:r w:rsidRPr="005E62DC">
              <w:t>models</w:t>
            </w:r>
            <w:proofErr w:type="spellEnd"/>
            <w:r w:rsidRPr="005E62DC">
              <w:t xml:space="preserve"> in </w:t>
            </w:r>
            <w:proofErr w:type="spellStart"/>
            <w:r w:rsidRPr="005E62DC">
              <w:t>Europe</w:t>
            </w:r>
            <w:proofErr w:type="spellEnd"/>
            <w:r w:rsidRPr="005E62DC">
              <w:t xml:space="preserve">: </w:t>
            </w:r>
            <w:proofErr w:type="spellStart"/>
            <w:r w:rsidRPr="005E62DC">
              <w:t>Innovative</w:t>
            </w:r>
            <w:proofErr w:type="spellEnd"/>
            <w:r w:rsidRPr="005E62DC">
              <w:t xml:space="preserve"> </w:t>
            </w:r>
            <w:proofErr w:type="spellStart"/>
            <w:r w:rsidRPr="005E62DC">
              <w:t>approaches</w:t>
            </w:r>
            <w:proofErr w:type="spellEnd"/>
            <w:r w:rsidRPr="005E62DC">
              <w:t xml:space="preserve"> </w:t>
            </w:r>
            <w:proofErr w:type="spellStart"/>
            <w:r w:rsidRPr="005E62DC">
              <w:t>to</w:t>
            </w:r>
            <w:proofErr w:type="spellEnd"/>
            <w:r w:rsidRPr="005E62DC">
              <w:t xml:space="preserve"> </w:t>
            </w:r>
            <w:proofErr w:type="spellStart"/>
            <w:r w:rsidRPr="005E62DC">
              <w:t>law</w:t>
            </w:r>
            <w:proofErr w:type="spellEnd"/>
            <w:r w:rsidRPr="005E62DC">
              <w:t xml:space="preserve"> and </w:t>
            </w:r>
            <w:proofErr w:type="spellStart"/>
            <w:r w:rsidRPr="005E62DC">
              <w:t>policy</w:t>
            </w:r>
            <w:proofErr w:type="spellEnd"/>
            <w:r w:rsidRPr="005E62DC">
              <w:t xml:space="preserve"> Nº de investigadores/as: 4 (IP J. Martínez-</w:t>
            </w:r>
            <w:proofErr w:type="spellStart"/>
            <w:r w:rsidRPr="005E62DC">
              <w:t>Torrón</w:t>
            </w:r>
            <w:proofErr w:type="spellEnd"/>
            <w:r w:rsidRPr="005E62DC">
              <w:t xml:space="preserve">). </w:t>
            </w:r>
            <w:r>
              <w:t xml:space="preserve">Entidad/es financiadora/s: EU </w:t>
            </w:r>
            <w:proofErr w:type="spellStart"/>
            <w:r>
              <w:t>Commission</w:t>
            </w:r>
            <w:proofErr w:type="spellEnd"/>
            <w:r>
              <w:t xml:space="preserve"> Fecha de inicio-fin: 01/02/2010 - 31/01/2013</w:t>
            </w:r>
          </w:p>
        </w:tc>
      </w:tr>
      <w:tr w:rsidR="009755A1" w:rsidTr="00773C5D">
        <w:tc>
          <w:tcPr>
            <w:tcW w:w="1560" w:type="dxa"/>
          </w:tcPr>
          <w:p w:rsidR="009755A1" w:rsidRDefault="009755A1" w:rsidP="00773C5D">
            <w:pPr>
              <w:rPr>
                <w:u w:val="single"/>
              </w:rPr>
            </w:pPr>
            <w:r w:rsidRPr="003A369F">
              <w:rPr>
                <w:u w:val="single"/>
              </w:rPr>
              <w:t>Publicaciones</w:t>
            </w:r>
          </w:p>
          <w:p w:rsidR="009755A1" w:rsidRDefault="009755A1" w:rsidP="00773C5D">
            <w:pPr>
              <w:rPr>
                <w:u w:val="single"/>
              </w:rPr>
            </w:pPr>
          </w:p>
          <w:p w:rsidR="009755A1" w:rsidRDefault="009755A1" w:rsidP="00773C5D">
            <w:pPr>
              <w:rPr>
                <w:u w:val="single"/>
              </w:rPr>
            </w:pPr>
          </w:p>
          <w:p w:rsidR="009755A1" w:rsidRDefault="009755A1" w:rsidP="00773C5D">
            <w:pPr>
              <w:rPr>
                <w:u w:val="single"/>
              </w:rPr>
            </w:pPr>
          </w:p>
          <w:p w:rsidR="009755A1" w:rsidRDefault="009755A1" w:rsidP="00773C5D">
            <w:pPr>
              <w:rPr>
                <w:u w:val="single"/>
              </w:rPr>
            </w:pPr>
          </w:p>
          <w:p w:rsidR="009755A1" w:rsidRDefault="009755A1" w:rsidP="00773C5D">
            <w:pPr>
              <w:rPr>
                <w:u w:val="single"/>
              </w:rPr>
            </w:pPr>
          </w:p>
          <w:p w:rsidR="009755A1" w:rsidRDefault="009755A1" w:rsidP="00773C5D">
            <w:pPr>
              <w:rPr>
                <w:u w:val="single"/>
              </w:rPr>
            </w:pPr>
          </w:p>
          <w:p w:rsidR="009755A1" w:rsidRDefault="009755A1" w:rsidP="00773C5D">
            <w:pPr>
              <w:rPr>
                <w:u w:val="single"/>
              </w:rPr>
            </w:pPr>
          </w:p>
          <w:p w:rsidR="009755A1" w:rsidRPr="003A369F" w:rsidRDefault="009755A1" w:rsidP="00773C5D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9755A1" w:rsidRDefault="009755A1" w:rsidP="009755A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7" w:hanging="37"/>
            </w:pPr>
            <w:r>
              <w:t>S. Cañamares, Igualdad religiosa en las relaciones laborales, Ed. Aranzadi (2018)</w:t>
            </w:r>
          </w:p>
          <w:p w:rsidR="009755A1" w:rsidRDefault="009755A1" w:rsidP="00773C5D">
            <w:pPr>
              <w:pStyle w:val="Prrafodelista"/>
              <w:ind w:left="321"/>
            </w:pPr>
          </w:p>
          <w:p w:rsidR="009755A1" w:rsidRDefault="009755A1" w:rsidP="009755A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0" w:firstLine="37"/>
            </w:pPr>
            <w:r>
              <w:t>S. Cañamares, “Relaciones entre el Estado y las confesiones religiosas en España. Apuntes históricos y regulación actual a la luz de la jurisprudencia del Tribunal Europeo de Derechos Humanos</w:t>
            </w:r>
          </w:p>
          <w:p w:rsidR="009755A1" w:rsidRDefault="009755A1" w:rsidP="00773C5D">
            <w:proofErr w:type="spellStart"/>
            <w:r>
              <w:t>Ius</w:t>
            </w:r>
            <w:proofErr w:type="spellEnd"/>
            <w:r>
              <w:t>. Revista de Investigación de la Facultad de Derecho (USAT), (2018), pp. 19-26.</w:t>
            </w:r>
          </w:p>
          <w:p w:rsidR="009755A1" w:rsidRDefault="009755A1" w:rsidP="00773C5D"/>
          <w:p w:rsidR="009755A1" w:rsidRDefault="009755A1" w:rsidP="00773C5D">
            <w:r>
              <w:t>3. S. Cañamares, “La evolución de la doctrina del Tribunal Europeo de Derechos Humanos en materia de objeción de conciencia, Revista de derecho público, Nº. 46, (2014) págs. 37-58</w:t>
            </w:r>
          </w:p>
          <w:p w:rsidR="009755A1" w:rsidRDefault="009755A1" w:rsidP="00773C5D"/>
          <w:p w:rsidR="009755A1" w:rsidRDefault="009755A1" w:rsidP="00773C5D">
            <w:r>
              <w:t xml:space="preserve">4. </w:t>
            </w:r>
            <w:r w:rsidRPr="001C66E1">
              <w:t xml:space="preserve">S. Cañamares, “El derecho al matrimonio en la jurisprudencia de </w:t>
            </w:r>
            <w:r w:rsidRPr="001C66E1">
              <w:lastRenderedPageBreak/>
              <w:t>Estrasburgo, Derecho y religión, Nº. 9, (2014) (Ejemplar dedicado a: La libertad religiosa en la jurisprudencia del Tribunal Europeo de Derechos Humanos / coord. por Isidoro Martín Sánchez, Marcos González Sánchez), págs. 245-260</w:t>
            </w:r>
          </w:p>
          <w:p w:rsidR="009755A1" w:rsidRDefault="009755A1" w:rsidP="00773C5D"/>
          <w:p w:rsidR="009755A1" w:rsidRDefault="009755A1" w:rsidP="00773C5D">
            <w:r>
              <w:t>5. S. Cañamares, “Ministros de culto y autonomía confesional en la jurisprudencia del Tribunal Europeo de Derechos Humanos” Derecho y religión, Nº. 13, 2018, págs. 69-82</w:t>
            </w:r>
          </w:p>
          <w:p w:rsidR="009755A1" w:rsidRDefault="009755A1" w:rsidP="00773C5D"/>
          <w:p w:rsidR="009755A1" w:rsidRDefault="009755A1" w:rsidP="00773C5D">
            <w:r>
              <w:t xml:space="preserve">6. S. Cañamares, “Obligaciones de lealtad y discriminación religiosa de los trabajadores de las confesiones religiosas y empresas de tendencia: Sentencia del Tribunal de Justicia de la Unión Europea de 11 de septiembre de 2018, asunto C–68/17: IR v. JQ”, La Ley Unión Europea, </w:t>
            </w:r>
            <w:proofErr w:type="spellStart"/>
            <w:r>
              <w:t>núm</w:t>
            </w:r>
            <w:proofErr w:type="spellEnd"/>
            <w:r>
              <w:t xml:space="preserve"> 64, 2018</w:t>
            </w:r>
          </w:p>
          <w:p w:rsidR="009755A1" w:rsidRDefault="009755A1" w:rsidP="00773C5D"/>
          <w:p w:rsidR="009755A1" w:rsidRDefault="009755A1" w:rsidP="00773C5D">
            <w:r>
              <w:t>7. S. Cañamares, Extremismo, radicalización violenta y libertad religiosa: límites del control estatal, Revista General de Derecho Canónico y Derecho Eclesiástico del Estado, Nº. 46, 2018</w:t>
            </w:r>
          </w:p>
          <w:p w:rsidR="009755A1" w:rsidRDefault="009755A1" w:rsidP="00773C5D"/>
          <w:p w:rsidR="009755A1" w:rsidRDefault="009755A1" w:rsidP="00773C5D">
            <w:r>
              <w:t>8. S. Cañamares, La reciente jurisprudencia del Tribunal de Estrasburgo y del Tribunal Supremo en Canadá en relación con el derecho a la muerte digna, Revista española de derecho constitucional (2016), pp.337-356.</w:t>
            </w:r>
          </w:p>
          <w:p w:rsidR="009755A1" w:rsidRDefault="009755A1" w:rsidP="00773C5D"/>
        </w:tc>
      </w:tr>
      <w:tr w:rsidR="009755A1" w:rsidTr="00773C5D">
        <w:tc>
          <w:tcPr>
            <w:tcW w:w="1560" w:type="dxa"/>
          </w:tcPr>
          <w:p w:rsidR="009755A1" w:rsidRDefault="009755A1" w:rsidP="00773C5D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Experiencia Profesional</w:t>
            </w:r>
          </w:p>
          <w:p w:rsidR="009755A1" w:rsidRDefault="009755A1" w:rsidP="00773C5D">
            <w:pPr>
              <w:rPr>
                <w:u w:val="single"/>
              </w:rPr>
            </w:pPr>
          </w:p>
          <w:p w:rsidR="009755A1" w:rsidRDefault="009755A1" w:rsidP="00773C5D">
            <w:pPr>
              <w:rPr>
                <w:u w:val="single"/>
              </w:rPr>
            </w:pPr>
          </w:p>
          <w:p w:rsidR="009755A1" w:rsidRDefault="009755A1" w:rsidP="00773C5D">
            <w:pPr>
              <w:rPr>
                <w:u w:val="single"/>
              </w:rPr>
            </w:pPr>
          </w:p>
          <w:p w:rsidR="009755A1" w:rsidRDefault="009755A1" w:rsidP="00773C5D">
            <w:pPr>
              <w:rPr>
                <w:u w:val="single"/>
              </w:rPr>
            </w:pPr>
          </w:p>
          <w:p w:rsidR="009755A1" w:rsidRDefault="009755A1" w:rsidP="00773C5D">
            <w:pPr>
              <w:rPr>
                <w:u w:val="single"/>
              </w:rPr>
            </w:pPr>
          </w:p>
          <w:p w:rsidR="009755A1" w:rsidRPr="003A369F" w:rsidRDefault="009755A1" w:rsidP="00773C5D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9755A1" w:rsidRDefault="009755A1" w:rsidP="009755A1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PROFESOR TITULAR DE UNIVERSIDAD</w:t>
            </w:r>
          </w:p>
          <w:p w:rsidR="009755A1" w:rsidRDefault="009755A1" w:rsidP="00773C5D">
            <w:r>
              <w:t>Entidad empleadora: Universidad Complutense de Madrid</w:t>
            </w:r>
          </w:p>
          <w:p w:rsidR="009755A1" w:rsidRDefault="009755A1" w:rsidP="00773C5D">
            <w:r>
              <w:t>Fecha de inicio-fin: 09/04/2007</w:t>
            </w:r>
          </w:p>
          <w:p w:rsidR="009755A1" w:rsidRDefault="009755A1" w:rsidP="00773C5D"/>
          <w:p w:rsidR="009755A1" w:rsidRDefault="009755A1" w:rsidP="009755A1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PROFESOR AYUDANTE DOCTOR</w:t>
            </w:r>
          </w:p>
          <w:p w:rsidR="009755A1" w:rsidRDefault="009755A1" w:rsidP="00773C5D">
            <w:r>
              <w:t>Entidad empleadora: Universidad Complutense de Madrid</w:t>
            </w:r>
          </w:p>
          <w:p w:rsidR="009755A1" w:rsidRDefault="009755A1" w:rsidP="00773C5D">
            <w:r>
              <w:t xml:space="preserve">Fecha de inicio-fin: 01/10/2003 - 08/04/2007 </w:t>
            </w:r>
          </w:p>
          <w:p w:rsidR="009755A1" w:rsidRDefault="009755A1" w:rsidP="00773C5D"/>
          <w:p w:rsidR="009755A1" w:rsidRDefault="009755A1" w:rsidP="009755A1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 xml:space="preserve">AYUDANTE </w:t>
            </w:r>
          </w:p>
          <w:p w:rsidR="009755A1" w:rsidRDefault="009755A1" w:rsidP="00773C5D">
            <w:r>
              <w:t>Entidad empleadora: Universidad Complutense de Madrid</w:t>
            </w:r>
          </w:p>
          <w:p w:rsidR="009755A1" w:rsidRDefault="009755A1" w:rsidP="00773C5D">
            <w:r>
              <w:t xml:space="preserve">Fecha de inicio-fin: 01/10/2000 - 30/09/2003 </w:t>
            </w:r>
          </w:p>
          <w:p w:rsidR="009755A1" w:rsidRDefault="009755A1" w:rsidP="00773C5D"/>
        </w:tc>
      </w:tr>
    </w:tbl>
    <w:p w:rsidR="00FD778C" w:rsidRDefault="00FD778C"/>
    <w:sectPr w:rsidR="00FD778C" w:rsidSect="00FD77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8AE" w:rsidRDefault="00BE38AE" w:rsidP="00B47BB7">
      <w:pPr>
        <w:spacing w:after="0" w:line="240" w:lineRule="auto"/>
      </w:pPr>
      <w:r>
        <w:separator/>
      </w:r>
    </w:p>
  </w:endnote>
  <w:endnote w:type="continuationSeparator" w:id="0">
    <w:p w:rsidR="00BE38AE" w:rsidRDefault="00BE38AE" w:rsidP="00B4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B7" w:rsidRDefault="00B47BB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B7" w:rsidRDefault="00B47BB7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B7" w:rsidRDefault="00B47BB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8AE" w:rsidRDefault="00BE38AE" w:rsidP="00B47BB7">
      <w:pPr>
        <w:spacing w:after="0" w:line="240" w:lineRule="auto"/>
      </w:pPr>
      <w:r>
        <w:separator/>
      </w:r>
    </w:p>
  </w:footnote>
  <w:footnote w:type="continuationSeparator" w:id="0">
    <w:p w:rsidR="00BE38AE" w:rsidRDefault="00BE38AE" w:rsidP="00B4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B7" w:rsidRDefault="00B47BB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B7" w:rsidRDefault="00B47BB7">
    <w:pPr>
      <w:pStyle w:val="Encabezado"/>
    </w:pPr>
    <w:r w:rsidRPr="00B47BB7">
      <w:drawing>
        <wp:inline distT="0" distB="0" distL="0" distR="0">
          <wp:extent cx="1880302" cy="484039"/>
          <wp:effectExtent l="19050" t="0" r="5648" b="0"/>
          <wp:docPr id="6" name="Imagen 6" descr="C:\Users\lzuloaga\AppData\Local\Temp\Rar$DIa0.853\Marca UCM Alternativa logo negr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zuloaga\AppData\Local\Temp\Rar$DIa0.853\Marca UCM Alternativa logo neg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302" cy="484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7BB7" w:rsidRDefault="00B47BB7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B7" w:rsidRDefault="00B47BB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8BD"/>
    <w:multiLevelType w:val="hybridMultilevel"/>
    <w:tmpl w:val="90AEDC3C"/>
    <w:lvl w:ilvl="0" w:tplc="2C7844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B2934"/>
    <w:multiLevelType w:val="hybridMultilevel"/>
    <w:tmpl w:val="CAC0AD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F44E7"/>
    <w:multiLevelType w:val="hybridMultilevel"/>
    <w:tmpl w:val="6EA07B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51471"/>
    <w:multiLevelType w:val="hybridMultilevel"/>
    <w:tmpl w:val="43069E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5A1"/>
    <w:rsid w:val="00702CA1"/>
    <w:rsid w:val="009755A1"/>
    <w:rsid w:val="009E0B6C"/>
    <w:rsid w:val="009F6797"/>
    <w:rsid w:val="00B47BB7"/>
    <w:rsid w:val="00BE38AE"/>
    <w:rsid w:val="00FD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5A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5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755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B47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47BB7"/>
  </w:style>
  <w:style w:type="paragraph" w:styleId="Piedepgina">
    <w:name w:val="footer"/>
    <w:basedOn w:val="Normal"/>
    <w:link w:val="PiedepginaCar"/>
    <w:uiPriority w:val="99"/>
    <w:semiHidden/>
    <w:unhideWhenUsed/>
    <w:rsid w:val="00B47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47BB7"/>
  </w:style>
  <w:style w:type="paragraph" w:styleId="Textodeglobo">
    <w:name w:val="Balloon Text"/>
    <w:basedOn w:val="Normal"/>
    <w:link w:val="TextodegloboCar"/>
    <w:uiPriority w:val="99"/>
    <w:semiHidden/>
    <w:unhideWhenUsed/>
    <w:rsid w:val="00B47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Emil</cp:lastModifiedBy>
  <cp:revision>3</cp:revision>
  <dcterms:created xsi:type="dcterms:W3CDTF">2019-06-27T10:01:00Z</dcterms:created>
  <dcterms:modified xsi:type="dcterms:W3CDTF">2019-07-02T17:04:00Z</dcterms:modified>
</cp:coreProperties>
</file>