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9C" w:rsidRPr="00C6672D" w:rsidRDefault="0041559C" w:rsidP="0041559C">
      <w:pPr>
        <w:jc w:val="center"/>
        <w:rPr>
          <w:b/>
          <w:color w:val="0070C0"/>
          <w:sz w:val="32"/>
          <w:szCs w:val="32"/>
          <w:u w:val="single"/>
        </w:rPr>
      </w:pPr>
      <w:r>
        <w:rPr>
          <w:b/>
          <w:color w:val="0070C0"/>
          <w:sz w:val="32"/>
          <w:szCs w:val="32"/>
          <w:u w:val="single"/>
        </w:rPr>
        <w:t>TITULAR</w:t>
      </w:r>
      <w:r w:rsidR="00C2758D">
        <w:rPr>
          <w:b/>
          <w:color w:val="0070C0"/>
          <w:sz w:val="32"/>
          <w:szCs w:val="32"/>
          <w:u w:val="single"/>
        </w:rPr>
        <w:t>5</w:t>
      </w:r>
    </w:p>
    <w:p w:rsidR="0041559C" w:rsidRDefault="0041559C" w:rsidP="0041559C"/>
    <w:tbl>
      <w:tblPr>
        <w:tblStyle w:val="Tablaconcuadrcula"/>
        <w:tblW w:w="10121" w:type="dxa"/>
        <w:tblLayout w:type="fixed"/>
        <w:tblLook w:val="04A0"/>
      </w:tblPr>
      <w:tblGrid>
        <w:gridCol w:w="1560"/>
        <w:gridCol w:w="5811"/>
        <w:gridCol w:w="1701"/>
        <w:gridCol w:w="1049"/>
      </w:tblGrid>
      <w:tr w:rsidR="0041559C" w:rsidRPr="00537653" w:rsidTr="00773C5D">
        <w:trPr>
          <w:gridAfter w:val="1"/>
          <w:wAfter w:w="1049" w:type="dxa"/>
        </w:trPr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41559C" w:rsidRPr="00537653" w:rsidRDefault="0041559C" w:rsidP="00773C5D">
            <w:pPr>
              <w:jc w:val="center"/>
              <w:rPr>
                <w:rFonts w:ascii="Arial" w:hAnsi="Arial" w:cs="Arial"/>
                <w:b/>
              </w:rPr>
            </w:pPr>
            <w:r w:rsidRPr="00537653">
              <w:rPr>
                <w:rFonts w:ascii="Arial" w:hAnsi="Arial" w:cs="Arial"/>
                <w:b/>
              </w:rPr>
              <w:t>TABLA DE CUALIFICACIÓN DOCENTE</w:t>
            </w:r>
          </w:p>
        </w:tc>
        <w:tc>
          <w:tcPr>
            <w:tcW w:w="1701" w:type="dxa"/>
          </w:tcPr>
          <w:p w:rsidR="0041559C" w:rsidRPr="00537653" w:rsidRDefault="0041559C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Nº ECTS</w:t>
            </w:r>
          </w:p>
        </w:tc>
      </w:tr>
      <w:tr w:rsidR="0041559C" w:rsidRPr="00537653" w:rsidTr="00773C5D">
        <w:trPr>
          <w:gridAfter w:val="1"/>
          <w:wAfter w:w="1049" w:type="dxa"/>
        </w:trPr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:rsidR="0041559C" w:rsidRPr="00537653" w:rsidRDefault="0041559C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  <w:b/>
                <w:u w:val="single"/>
              </w:rPr>
              <w:t>MATERIA</w:t>
            </w:r>
            <w:r w:rsidRPr="00537653">
              <w:rPr>
                <w:rFonts w:ascii="Arial" w:hAnsi="Arial" w:cs="Arial"/>
              </w:rPr>
              <w:t>:</w:t>
            </w:r>
          </w:p>
          <w:p w:rsidR="0041559C" w:rsidRPr="00537653" w:rsidRDefault="0041559C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DERECHO COMÚN EUROPEO</w:t>
            </w:r>
          </w:p>
          <w:p w:rsidR="0041559C" w:rsidRPr="00537653" w:rsidRDefault="0041559C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DERECHO Y RELIGIONES</w:t>
            </w:r>
          </w:p>
          <w:p w:rsidR="0041559C" w:rsidRPr="00537653" w:rsidRDefault="0041559C" w:rsidP="00773C5D">
            <w:pPr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RELACIONES FAMILIARES Y PLURALISMO RELIGIOSO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1701" w:type="dxa"/>
          </w:tcPr>
          <w:p w:rsidR="0041559C" w:rsidRDefault="0041559C" w:rsidP="00773C5D">
            <w:pPr>
              <w:rPr>
                <w:rFonts w:ascii="Arial" w:hAnsi="Arial" w:cs="Arial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</w:rPr>
            </w:pPr>
          </w:p>
          <w:p w:rsidR="0041559C" w:rsidRPr="00537653" w:rsidRDefault="0041559C" w:rsidP="00773C5D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41559C" w:rsidRPr="00537653" w:rsidTr="00773C5D">
        <w:trPr>
          <w:gridAfter w:val="1"/>
          <w:wAfter w:w="1049" w:type="dxa"/>
          <w:trHeight w:val="469"/>
        </w:trPr>
        <w:tc>
          <w:tcPr>
            <w:tcW w:w="1560" w:type="dxa"/>
          </w:tcPr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Perfil del profesor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</w:tcPr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 xml:space="preserve">  Especialización (Códigos UNESCO): 5601, 560202, y 5699 (Derecho Eclesiástico del Estado).</w:t>
            </w:r>
          </w:p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605"/>
              <w:gridCol w:w="4605"/>
            </w:tblGrid>
            <w:tr w:rsidR="0041559C" w:rsidRPr="00537653" w:rsidTr="00773C5D">
              <w:tc>
                <w:tcPr>
                  <w:tcW w:w="4605" w:type="dxa"/>
                </w:tcPr>
                <w:p w:rsidR="0041559C" w:rsidRPr="00537653" w:rsidRDefault="0041559C" w:rsidP="00773C5D">
                  <w:pPr>
                    <w:jc w:val="both"/>
                    <w:rPr>
                      <w:rFonts w:ascii="Arial" w:hAnsi="Arial" w:cs="Arial"/>
                    </w:rPr>
                  </w:pPr>
                  <w:r w:rsidRPr="00537653">
                    <w:rPr>
                      <w:rFonts w:ascii="Arial" w:hAnsi="Arial" w:cs="Arial"/>
                    </w:rPr>
                    <w:t>Categoría profesional: Profesora Titular de Universidad</w:t>
                  </w:r>
                </w:p>
                <w:p w:rsidR="0041559C" w:rsidRPr="00537653" w:rsidRDefault="0041559C" w:rsidP="00773C5D">
                  <w:pPr>
                    <w:jc w:val="both"/>
                    <w:rPr>
                      <w:rFonts w:ascii="Arial" w:hAnsi="Arial" w:cs="Arial"/>
                    </w:rPr>
                  </w:pPr>
                  <w:r w:rsidRPr="00537653">
                    <w:rPr>
                      <w:rFonts w:ascii="Arial" w:hAnsi="Arial" w:cs="Arial"/>
                    </w:rPr>
                    <w:t xml:space="preserve">Fecha de inicio: </w:t>
                  </w:r>
                  <w:r>
                    <w:rPr>
                      <w:rFonts w:ascii="Arial" w:hAnsi="Arial" w:cs="Arial"/>
                    </w:rPr>
                    <w:t xml:space="preserve">Pendiente de publicación en  </w:t>
                  </w:r>
                  <w:r w:rsidRPr="00537653">
                    <w:rPr>
                      <w:rFonts w:ascii="Arial" w:hAnsi="Arial" w:cs="Arial"/>
                    </w:rPr>
                    <w:t>el BOE</w:t>
                  </w:r>
                </w:p>
              </w:tc>
              <w:tc>
                <w:tcPr>
                  <w:tcW w:w="4605" w:type="dxa"/>
                </w:tcPr>
                <w:p w:rsidR="0041559C" w:rsidRPr="00537653" w:rsidRDefault="0041559C" w:rsidP="00773C5D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41559C" w:rsidRPr="00537653" w:rsidRDefault="0041559C" w:rsidP="00773C5D">
            <w:pPr>
              <w:ind w:left="426" w:hanging="426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Situación administrativa. Activa.  Dedicación a tiempo completo.</w:t>
            </w:r>
          </w:p>
          <w:p w:rsidR="0041559C" w:rsidRPr="00537653" w:rsidRDefault="00A852A4" w:rsidP="00A852A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41559C" w:rsidRPr="00537653">
              <w:rPr>
                <w:rFonts w:ascii="Arial" w:hAnsi="Arial" w:cs="Arial"/>
              </w:rPr>
              <w:t xml:space="preserve"> sexenio</w:t>
            </w:r>
            <w:r>
              <w:rPr>
                <w:rFonts w:ascii="Arial" w:hAnsi="Arial" w:cs="Arial"/>
              </w:rPr>
              <w:t>s</w:t>
            </w:r>
            <w:r w:rsidR="0041559C" w:rsidRPr="00537653">
              <w:rPr>
                <w:rFonts w:ascii="Arial" w:hAnsi="Arial" w:cs="Arial"/>
              </w:rPr>
              <w:t xml:space="preserve"> de investigación.</w:t>
            </w:r>
          </w:p>
        </w:tc>
      </w:tr>
      <w:tr w:rsidR="0041559C" w:rsidRPr="00537653" w:rsidTr="00773C5D">
        <w:trPr>
          <w:gridAfter w:val="1"/>
          <w:wAfter w:w="1049" w:type="dxa"/>
          <w:trHeight w:val="871"/>
        </w:trPr>
        <w:tc>
          <w:tcPr>
            <w:tcW w:w="1560" w:type="dxa"/>
          </w:tcPr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Líneas de investigación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</w:tcPr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</w:rPr>
              <w:t>1)</w:t>
            </w:r>
            <w:r w:rsidRPr="00537653">
              <w:rPr>
                <w:rFonts w:ascii="Arial" w:hAnsi="Arial" w:cs="Arial"/>
                <w:bCs/>
              </w:rPr>
              <w:tab/>
              <w:t xml:space="preserve">Libertad de religión y creencias en derecho español, internacional y comparado </w:t>
            </w:r>
          </w:p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2)</w:t>
            </w:r>
            <w:r w:rsidRPr="00537653">
              <w:rPr>
                <w:rFonts w:ascii="Arial" w:hAnsi="Arial" w:cs="Arial"/>
              </w:rPr>
              <w:tab/>
              <w:t>Relaciones entre libertad religiosa y otros derechos fundamentales, en el derecho español, internacional y comparado</w:t>
            </w:r>
          </w:p>
          <w:p w:rsidR="0041559C" w:rsidRDefault="0041559C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3)</w:t>
            </w:r>
            <w:r w:rsidRPr="00537653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Relaciones de cooperación económica entre el Estado y las confesiones religiosas</w:t>
            </w:r>
          </w:p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4)    </w:t>
            </w:r>
            <w:r w:rsidRPr="00537653">
              <w:rPr>
                <w:rFonts w:ascii="Arial" w:hAnsi="Arial" w:cs="Arial"/>
              </w:rPr>
              <w:t>Derecho matrimonial y pluralismo jurídico</w:t>
            </w:r>
          </w:p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5</w:t>
            </w:r>
            <w:r w:rsidRPr="00537653">
              <w:rPr>
                <w:rFonts w:ascii="Arial" w:hAnsi="Arial" w:cs="Arial"/>
                <w:bCs/>
              </w:rPr>
              <w:t>)</w:t>
            </w:r>
            <w:r w:rsidRPr="00537653">
              <w:rPr>
                <w:rFonts w:ascii="Arial" w:hAnsi="Arial" w:cs="Arial"/>
                <w:bCs/>
              </w:rPr>
              <w:tab/>
              <w:t>Derechos humanos y neutralidad ética del Estado</w:t>
            </w:r>
            <w:r>
              <w:rPr>
                <w:rFonts w:ascii="Arial" w:hAnsi="Arial" w:cs="Arial"/>
                <w:bCs/>
              </w:rPr>
              <w:t>, con especial atención a las instituciones y servicios públicos</w:t>
            </w:r>
          </w:p>
          <w:p w:rsidR="0041559C" w:rsidRDefault="0041559C" w:rsidP="00773C5D">
            <w:pPr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6</w:t>
            </w:r>
            <w:r w:rsidRPr="00537653">
              <w:rPr>
                <w:rFonts w:ascii="Arial" w:hAnsi="Arial" w:cs="Arial"/>
                <w:bCs/>
              </w:rPr>
              <w:t>)    Fundamentos éticos del derecho común europeo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  <w:bCs/>
              </w:rPr>
            </w:pPr>
          </w:p>
        </w:tc>
      </w:tr>
      <w:tr w:rsidR="0041559C" w:rsidRPr="00537653" w:rsidTr="00773C5D">
        <w:trPr>
          <w:gridAfter w:val="1"/>
          <w:wAfter w:w="1049" w:type="dxa"/>
          <w:trHeight w:val="2266"/>
        </w:trPr>
        <w:tc>
          <w:tcPr>
            <w:tcW w:w="1560" w:type="dxa"/>
          </w:tcPr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lastRenderedPageBreak/>
              <w:t>Proyectos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</w:tcPr>
          <w:p w:rsidR="0041559C" w:rsidRPr="00537653" w:rsidRDefault="0041559C" w:rsidP="0041559C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Miembro del Proyecto de Investigación: La nueva familia ante el derecho público y privado (DER2010-17847), 01-01-2011/31-12-2013. Investigador principal: Matilde Cuena Casas</w:t>
            </w:r>
          </w:p>
          <w:p w:rsidR="0041559C" w:rsidRPr="00537653" w:rsidRDefault="0041559C" w:rsidP="0041559C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Miembro del Proyecto de Investigación: Neutralidad ideológico-religiosa del Estado y espacio público (DER2011-29385), 01-01-2012/31-06-2015. Investigador principal: Rafael Palomino Lozano</w:t>
            </w:r>
          </w:p>
          <w:p w:rsidR="0041559C" w:rsidRPr="00537653" w:rsidRDefault="0041559C" w:rsidP="0041559C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Miembro del Proyecto de Investigación: Neutralidad del espacio público: escuela pública y escuela privada (DER2015-63823-P), 01-01-2016/01-01-2018. Investigador principal: Rafael Palomino Lozano e Irene Briones Martínez</w:t>
            </w:r>
          </w:p>
          <w:p w:rsidR="0041559C" w:rsidRPr="00537653" w:rsidRDefault="0041559C" w:rsidP="0041559C">
            <w:pPr>
              <w:pStyle w:val="Prrafodelista"/>
              <w:numPr>
                <w:ilvl w:val="0"/>
                <w:numId w:val="2"/>
              </w:numPr>
              <w:tabs>
                <w:tab w:val="left" w:pos="-1985"/>
              </w:tabs>
              <w:spacing w:after="0" w:line="240" w:lineRule="auto"/>
              <w:jc w:val="both"/>
              <w:outlineLvl w:val="0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 xml:space="preserve">Miembro del Proyecto de Investigación: La protección jurídica de la víctima en los delitos de odio por razón de religión o creencias (DER2017-86138-P), 01/01/2018 al 31/12/2020. Investigador principal: Francisca Pérez-Madrid </w:t>
            </w:r>
          </w:p>
          <w:p w:rsidR="0041559C" w:rsidRPr="00537653" w:rsidRDefault="0041559C" w:rsidP="00773C5D">
            <w:pPr>
              <w:ind w:left="360"/>
              <w:jc w:val="both"/>
              <w:rPr>
                <w:rFonts w:ascii="Arial" w:hAnsi="Arial" w:cs="Arial"/>
                <w:lang w:val="en-US"/>
              </w:rPr>
            </w:pPr>
          </w:p>
          <w:p w:rsidR="0041559C" w:rsidRPr="00537653" w:rsidRDefault="0041559C" w:rsidP="00773C5D">
            <w:pPr>
              <w:ind w:left="426" w:hanging="426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41559C" w:rsidRPr="00537653" w:rsidTr="00773C5D">
        <w:trPr>
          <w:gridAfter w:val="1"/>
          <w:wAfter w:w="1049" w:type="dxa"/>
        </w:trPr>
        <w:tc>
          <w:tcPr>
            <w:tcW w:w="1560" w:type="dxa"/>
          </w:tcPr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t>Publicaciones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  <w:tcBorders>
              <w:bottom w:val="single" w:sz="4" w:space="0" w:color="auto"/>
            </w:tcBorders>
          </w:tcPr>
          <w:p w:rsidR="0041559C" w:rsidRPr="00537653" w:rsidRDefault="0041559C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Últimos libros: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  <w:bCs/>
              </w:rPr>
            </w:pP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  <w:i/>
              </w:rPr>
              <w:t>Religión, Matrimonio y Derecho ante el Siglo XXI (</w:t>
            </w:r>
            <w:r w:rsidRPr="00537653">
              <w:rPr>
                <w:rFonts w:ascii="Arial" w:hAnsi="Arial" w:cs="Arial"/>
                <w:bCs/>
              </w:rPr>
              <w:t>coord., con J. Martínez-Torrón y R. Palomino), Ed. Iustel, Madrid, 2013, 2 vols., 3769 págs.</w:t>
            </w:r>
          </w:p>
          <w:p w:rsidR="0041559C" w:rsidRPr="00537653" w:rsidRDefault="0041559C" w:rsidP="004155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  <w:i/>
              </w:rPr>
              <w:t xml:space="preserve">Fuerzas Armadas y factor religioso </w:t>
            </w:r>
            <w:r w:rsidRPr="00537653">
              <w:rPr>
                <w:rFonts w:ascii="Arial" w:hAnsi="Arial" w:cs="Arial"/>
                <w:bCs/>
              </w:rPr>
              <w:t>(coord., con S. Cañamares y M. Domingo), Ed. Thomson Aranzadi, Cizur Menor, 2015, 312 págs.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  <w:bCs/>
              </w:rPr>
            </w:pP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  <w:i/>
              </w:rPr>
              <w:t>Transporte público y factor religioso</w:t>
            </w:r>
            <w:r w:rsidRPr="00537653">
              <w:rPr>
                <w:rFonts w:ascii="Arial" w:hAnsi="Arial" w:cs="Arial"/>
                <w:bCs/>
              </w:rPr>
              <w:t>, Ed. Dykinson, Madrid, 2017, 317 págs.</w:t>
            </w:r>
            <w:r w:rsidRPr="00537653">
              <w:rPr>
                <w:rFonts w:ascii="Arial" w:hAnsi="Arial" w:cs="Arial"/>
                <w:bCs/>
                <w:i/>
              </w:rPr>
              <w:t xml:space="preserve"> </w:t>
            </w:r>
          </w:p>
          <w:p w:rsidR="0041559C" w:rsidRPr="00537653" w:rsidRDefault="0041559C" w:rsidP="0041559C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537653">
              <w:rPr>
                <w:rFonts w:ascii="Arial" w:hAnsi="Arial" w:cs="Arial"/>
                <w:bCs/>
                <w:i/>
              </w:rPr>
              <w:t>La financiación de las confesiones religiosas en Europa</w:t>
            </w:r>
            <w:r w:rsidRPr="00537653">
              <w:rPr>
                <w:rFonts w:ascii="Arial" w:hAnsi="Arial" w:cs="Arial"/>
                <w:bCs/>
              </w:rPr>
              <w:t>, Ed</w:t>
            </w:r>
            <w:r>
              <w:rPr>
                <w:rFonts w:ascii="Arial" w:hAnsi="Arial" w:cs="Arial"/>
                <w:bCs/>
              </w:rPr>
              <w:t>. Digital Reasons, Madrid, 2019, 207 págs.</w:t>
            </w:r>
          </w:p>
          <w:p w:rsidR="0041559C" w:rsidRPr="00537653" w:rsidRDefault="0041559C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</w:rPr>
            </w:pPr>
          </w:p>
          <w:p w:rsidR="0041559C" w:rsidRPr="00537653" w:rsidRDefault="0041559C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Últimos artículos y capítulos de libro:</w:t>
            </w:r>
          </w:p>
          <w:p w:rsidR="0041559C" w:rsidRPr="00537653" w:rsidRDefault="0041559C" w:rsidP="00773C5D">
            <w:pPr>
              <w:shd w:val="solid" w:color="FFFFFF" w:fill="FFFFFF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spacing w:after="46"/>
              <w:jc w:val="both"/>
              <w:rPr>
                <w:rFonts w:ascii="Arial" w:hAnsi="Arial" w:cs="Arial"/>
              </w:rPr>
            </w:pP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n-US"/>
              </w:rPr>
            </w:pPr>
            <w:r w:rsidRPr="00537653">
              <w:rPr>
                <w:rFonts w:ascii="Arial" w:eastAsia="Calibri" w:hAnsi="Arial" w:cs="Arial"/>
                <w:lang w:val="en-US"/>
              </w:rPr>
              <w:t xml:space="preserve">“Religion and public transport: between religious pluralism and state neutrality”, en JUS </w:t>
            </w:r>
            <w:r w:rsidRPr="00537653">
              <w:rPr>
                <w:rFonts w:ascii="Arial" w:eastAsia="Calibri" w:hAnsi="Arial" w:cs="Arial"/>
                <w:i/>
                <w:lang w:val="en-US"/>
              </w:rPr>
              <w:t>Rivista di Scienze Giuridiche</w:t>
            </w:r>
            <w:r w:rsidRPr="00537653">
              <w:rPr>
                <w:rFonts w:ascii="Arial" w:eastAsia="Calibri" w:hAnsi="Arial" w:cs="Arial"/>
                <w:lang w:val="en-US"/>
              </w:rPr>
              <w:t xml:space="preserve"> Vol. 62, 1 (2015), pp. 105-128.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37653">
              <w:rPr>
                <w:rFonts w:ascii="Arial" w:eastAsia="Calibri" w:hAnsi="Arial" w:cs="Arial"/>
                <w:lang w:val="es-ES_tradnl"/>
              </w:rPr>
              <w:t xml:space="preserve">“Avances y retrocesos en la protección jurídica de la libertad e igualdad religiosa en España”, en </w:t>
            </w:r>
            <w:r w:rsidRPr="00537653">
              <w:rPr>
                <w:rFonts w:ascii="Arial" w:eastAsia="Calibri" w:hAnsi="Arial" w:cs="Arial"/>
                <w:i/>
              </w:rPr>
              <w:t>Revista General de Derecho Canónico y Derecho Eclesiástico del Estado</w:t>
            </w:r>
            <w:r w:rsidRPr="00537653">
              <w:rPr>
                <w:rFonts w:ascii="Arial" w:eastAsia="Calibri" w:hAnsi="Arial" w:cs="Arial"/>
              </w:rPr>
              <w:t xml:space="preserve"> 39 (2015), pp. 1-36.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</w:rPr>
            </w:pPr>
            <w:r w:rsidRPr="00537653">
              <w:rPr>
                <w:rFonts w:ascii="Arial" w:eastAsia="Calibri" w:hAnsi="Arial" w:cs="Arial"/>
              </w:rPr>
              <w:t>“</w:t>
            </w:r>
            <w:r w:rsidRPr="00537653">
              <w:rPr>
                <w:rFonts w:ascii="Arial" w:eastAsia="Calibri" w:hAnsi="Arial" w:cs="Arial"/>
                <w:iCs/>
              </w:rPr>
              <w:t xml:space="preserve">La cuestión de las prácticas religiosas en el ámbito laboral: La jurisprudencia de Estrasburgo”, en </w:t>
            </w:r>
            <w:r w:rsidRPr="00537653">
              <w:rPr>
                <w:rFonts w:ascii="Arial" w:eastAsia="Calibri" w:hAnsi="Arial" w:cs="Arial"/>
                <w:i/>
                <w:iCs/>
              </w:rPr>
              <w:t xml:space="preserve">Boletín Mexicano de Derecho Comparado </w:t>
            </w:r>
            <w:r w:rsidRPr="00537653">
              <w:rPr>
                <w:rFonts w:ascii="Arial" w:eastAsia="Calibri" w:hAnsi="Arial" w:cs="Arial"/>
              </w:rPr>
              <w:t>144, septiembre-diciembre (2015), pp. 1035-1061.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lang w:val="es-ES_tradnl"/>
              </w:rPr>
            </w:pPr>
            <w:r w:rsidRPr="00537653">
              <w:rPr>
                <w:rFonts w:ascii="Arial" w:eastAsia="Calibri" w:hAnsi="Arial" w:cs="Arial"/>
                <w:lang w:val="es-ES_tradnl"/>
              </w:rPr>
              <w:t xml:space="preserve">“La protección jurídica de la libertad religiosa en el ordenamiento jurídico español”, en </w:t>
            </w:r>
            <w:r w:rsidRPr="00537653">
              <w:rPr>
                <w:rFonts w:ascii="Arial" w:eastAsia="Calibri" w:hAnsi="Arial" w:cs="Arial"/>
                <w:i/>
                <w:lang w:val="es-ES_tradnl"/>
              </w:rPr>
              <w:t xml:space="preserve">Revista Uruguaya de Derecho Público </w:t>
            </w:r>
            <w:r w:rsidRPr="00537653">
              <w:rPr>
                <w:rFonts w:ascii="Arial" w:eastAsia="Calibri" w:hAnsi="Arial" w:cs="Arial"/>
                <w:lang w:val="es-ES_tradnl"/>
              </w:rPr>
              <w:t>48 (2015), pp. 101-122</w:t>
            </w:r>
            <w:r w:rsidRPr="00537653">
              <w:rPr>
                <w:rFonts w:ascii="Arial" w:eastAsia="Calibri" w:hAnsi="Arial" w:cs="Arial"/>
                <w:i/>
                <w:lang w:val="es-ES_tradnl"/>
              </w:rPr>
              <w:t>.</w:t>
            </w:r>
            <w:r w:rsidRPr="00537653">
              <w:rPr>
                <w:rFonts w:ascii="Arial" w:eastAsia="Calibri" w:hAnsi="Arial" w:cs="Arial"/>
                <w:lang w:val="es-ES_tradnl"/>
              </w:rPr>
              <w:t xml:space="preserve">  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653">
              <w:rPr>
                <w:rFonts w:ascii="Arial" w:hAnsi="Arial" w:cs="Arial"/>
                <w:color w:val="000000"/>
              </w:rPr>
              <w:t xml:space="preserve">“Prohibiciones sobre la utilización del velo integral en el espacio público europeo y español”, en </w:t>
            </w:r>
            <w:r w:rsidRPr="00537653">
              <w:rPr>
                <w:rFonts w:ascii="Arial" w:hAnsi="Arial" w:cs="Arial"/>
                <w:i/>
                <w:color w:val="000000"/>
              </w:rPr>
              <w:t>Revista JUS</w:t>
            </w:r>
            <w:r w:rsidRPr="00537653">
              <w:rPr>
                <w:rFonts w:ascii="Arial" w:hAnsi="Arial" w:cs="Arial"/>
                <w:color w:val="000000"/>
              </w:rPr>
              <w:t xml:space="preserve"> Vol. 1, núm. 12 (2016), pp. 1-26.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653">
              <w:rPr>
                <w:rFonts w:ascii="Arial" w:hAnsi="Arial" w:cs="Arial"/>
                <w:color w:val="000000"/>
              </w:rPr>
              <w:t xml:space="preserve">Mecenazgo y autofinanciación”, en C. Garcimartin (ed.) </w:t>
            </w:r>
            <w:r w:rsidRPr="00537653">
              <w:rPr>
                <w:rFonts w:ascii="Arial" w:hAnsi="Arial" w:cs="Arial"/>
                <w:i/>
                <w:color w:val="000000"/>
              </w:rPr>
              <w:t>La financiación de la libertad religiosa</w:t>
            </w:r>
            <w:r w:rsidRPr="00537653">
              <w:rPr>
                <w:rFonts w:ascii="Arial" w:hAnsi="Arial" w:cs="Arial"/>
                <w:color w:val="000000"/>
              </w:rPr>
              <w:t xml:space="preserve">, Comares, Granada, 2017, pp. 217-238. 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653">
              <w:rPr>
                <w:rFonts w:ascii="Arial" w:hAnsi="Arial" w:cs="Arial"/>
                <w:color w:val="000000"/>
              </w:rPr>
              <w:t xml:space="preserve">“Libertad religiosa, seguridad y transporte público en la </w:t>
            </w:r>
            <w:r w:rsidRPr="00537653">
              <w:rPr>
                <w:rFonts w:ascii="Arial" w:hAnsi="Arial" w:cs="Arial"/>
                <w:color w:val="000000"/>
              </w:rPr>
              <w:lastRenderedPageBreak/>
              <w:t xml:space="preserve">jurisprudencia de Estrasburgo”, en M. Moreno (ed.), </w:t>
            </w:r>
            <w:r w:rsidRPr="00537653">
              <w:rPr>
                <w:rFonts w:ascii="Arial" w:hAnsi="Arial" w:cs="Arial"/>
                <w:i/>
                <w:color w:val="000000"/>
              </w:rPr>
              <w:t>Sociedad. Derecho y factor religioso</w:t>
            </w:r>
            <w:r w:rsidRPr="00537653">
              <w:rPr>
                <w:rFonts w:ascii="Arial" w:hAnsi="Arial" w:cs="Arial"/>
                <w:color w:val="000000"/>
              </w:rPr>
              <w:t>, Comares, Granada, 2017, pp. 391-404.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653">
              <w:rPr>
                <w:rFonts w:ascii="Arial" w:hAnsi="Arial" w:cs="Arial"/>
              </w:rPr>
              <w:t xml:space="preserve">“Libertad religiosa y seguridad pública en la jurisprudencia internacional”, en F. Pérez-Madrid (ed.), </w:t>
            </w:r>
            <w:r w:rsidRPr="00537653">
              <w:rPr>
                <w:rFonts w:ascii="Arial" w:hAnsi="Arial" w:cs="Arial"/>
                <w:i/>
              </w:rPr>
              <w:t>Religión, libertad y seguridad</w:t>
            </w:r>
            <w:r w:rsidRPr="00537653">
              <w:rPr>
                <w:rFonts w:ascii="Arial" w:hAnsi="Arial" w:cs="Arial"/>
              </w:rPr>
              <w:t>, Tirant Lo Blanch, Valencia, 2017</w:t>
            </w:r>
            <w:r w:rsidRPr="00537653">
              <w:rPr>
                <w:rFonts w:ascii="Arial" w:hAnsi="Arial" w:cs="Arial"/>
                <w:color w:val="000000"/>
              </w:rPr>
              <w:t xml:space="preserve">, pp. 185-218. 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537653">
              <w:rPr>
                <w:rFonts w:ascii="Arial" w:hAnsi="Arial" w:cs="Arial"/>
                <w:color w:val="000000"/>
              </w:rPr>
              <w:t xml:space="preserve">“Protección del Patrimonio cultural inmaterial y Ayuntamientos. Especial referencia a los actos de Semana Santa y similares”, en F. Álvarez (dir.) y M. Cebriá (coord.), </w:t>
            </w:r>
            <w:r w:rsidRPr="00537653">
              <w:rPr>
                <w:rFonts w:ascii="Arial" w:hAnsi="Arial" w:cs="Arial"/>
                <w:i/>
                <w:color w:val="000000"/>
              </w:rPr>
              <w:t>Haciendas Locales y Patrimonio Histórico y cultural</w:t>
            </w:r>
            <w:r w:rsidRPr="00537653">
              <w:rPr>
                <w:rFonts w:ascii="Arial" w:hAnsi="Arial" w:cs="Arial"/>
                <w:color w:val="000000"/>
              </w:rPr>
              <w:t>, Dykinson, Madrid, 2017, pp. 297-321.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C00000"/>
              </w:rPr>
            </w:pPr>
            <w:r w:rsidRPr="00537653">
              <w:rPr>
                <w:rFonts w:ascii="Arial" w:hAnsi="Arial" w:cs="Arial"/>
                <w:color w:val="000000"/>
              </w:rPr>
              <w:t xml:space="preserve">“La financiación de las confesiones religiosas: algunas claves en la jurisprudencia de Estrasburgo”, en </w:t>
            </w:r>
            <w:r w:rsidRPr="00537653">
              <w:rPr>
                <w:rFonts w:ascii="Arial" w:hAnsi="Arial" w:cs="Arial"/>
                <w:i/>
                <w:color w:val="000000"/>
              </w:rPr>
              <w:t>Derecho y Religión</w:t>
            </w:r>
            <w:r w:rsidRPr="00537653">
              <w:rPr>
                <w:rFonts w:ascii="Arial" w:hAnsi="Arial" w:cs="Arial"/>
                <w:color w:val="000000"/>
              </w:rPr>
              <w:t xml:space="preserve"> 13 (2018), pp</w:t>
            </w:r>
            <w:r w:rsidRPr="00537653">
              <w:rPr>
                <w:rFonts w:ascii="Arial" w:hAnsi="Arial" w:cs="Arial"/>
              </w:rPr>
              <w:t>. 107-125.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bookmarkStart w:id="0" w:name="_Hlk528160467"/>
            <w:r w:rsidRPr="00537653">
              <w:rPr>
                <w:rFonts w:ascii="Arial" w:hAnsi="Arial" w:cs="Arial"/>
              </w:rPr>
              <w:t xml:space="preserve">“Nuevas dimensiones de la docencia sobre Derecho y factor </w:t>
            </w:r>
            <w:r w:rsidRPr="00660D2E">
              <w:rPr>
                <w:rFonts w:ascii="Arial" w:hAnsi="Arial" w:cs="Arial"/>
              </w:rPr>
              <w:t xml:space="preserve">religioso: interdisciplinariedad </w:t>
            </w:r>
            <w:bookmarkEnd w:id="0"/>
            <w:r w:rsidRPr="00660D2E">
              <w:rPr>
                <w:rFonts w:ascii="Arial" w:hAnsi="Arial" w:cs="Arial"/>
              </w:rPr>
              <w:t xml:space="preserve">e internacionalidad”, en </w:t>
            </w:r>
            <w:r w:rsidRPr="00660D2E">
              <w:rPr>
                <w:rFonts w:ascii="Arial" w:hAnsi="Arial" w:cs="Arial"/>
                <w:i/>
              </w:rPr>
              <w:t>Revista General de Derecho Canónico y Derecho Eclesiástico del Estado</w:t>
            </w:r>
            <w:r w:rsidRPr="00660D2E">
              <w:rPr>
                <w:rFonts w:ascii="Arial" w:hAnsi="Arial" w:cs="Arial"/>
              </w:rPr>
              <w:t xml:space="preserve"> 48 (2018), pp. 1-19.</w:t>
            </w:r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660D2E">
              <w:rPr>
                <w:rFonts w:ascii="Arial" w:hAnsi="Arial" w:cs="Arial"/>
              </w:rPr>
              <w:t xml:space="preserve">“Neutralidad, diversidad y celebración de las festividades religiosas en la escuela pública”, </w:t>
            </w:r>
            <w:r w:rsidRPr="00660D2E">
              <w:rPr>
                <w:rFonts w:ascii="Arial" w:hAnsi="Arial" w:cs="Arial"/>
                <w:i/>
              </w:rPr>
              <w:t>Stato, Chiese e pluralismo confessionale</w:t>
            </w:r>
            <w:r w:rsidRPr="00660D2E">
              <w:rPr>
                <w:rFonts w:ascii="Arial" w:hAnsi="Arial" w:cs="Arial"/>
              </w:rPr>
              <w:t xml:space="preserve"> núm. 41 diciembre (2018), pp. 1-25, en </w:t>
            </w:r>
            <w:hyperlink r:id="rId7" w:history="1">
              <w:r w:rsidRPr="00660D2E">
                <w:rPr>
                  <w:rStyle w:val="Hipervnculo"/>
                  <w:rFonts w:ascii="Arial" w:eastAsia="Times New Roman" w:hAnsi="Arial" w:cs="Arial"/>
                  <w:lang w:val="it-IT" w:eastAsia="it-IT"/>
                </w:rPr>
                <w:t>https://www.statoechiese.it</w:t>
              </w:r>
            </w:hyperlink>
          </w:p>
          <w:p w:rsidR="0041559C" w:rsidRPr="00660D2E" w:rsidRDefault="0041559C" w:rsidP="0041559C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C00000"/>
              </w:rPr>
            </w:pPr>
            <w:r w:rsidRPr="00660D2E">
              <w:rPr>
                <w:rFonts w:ascii="Arial" w:hAnsi="Arial" w:cs="Arial"/>
              </w:rPr>
              <w:t xml:space="preserve">“El Patrimonio Cultural Inmaterial religioso en el ordenamiento jurídico español: entre neutralidad del Estado y gestión de la diversidad religiosa y cultural”, en </w:t>
            </w:r>
            <w:r w:rsidRPr="00660D2E">
              <w:rPr>
                <w:rFonts w:ascii="Arial" w:hAnsi="Arial" w:cs="Arial"/>
                <w:i/>
              </w:rPr>
              <w:t xml:space="preserve">Revista Latinoamericana de Derecho y Religión, </w:t>
            </w:r>
            <w:r w:rsidRPr="00660D2E">
              <w:rPr>
                <w:rFonts w:ascii="Arial" w:hAnsi="Arial" w:cs="Arial"/>
              </w:rPr>
              <w:t>Vol. 2 núm. 5 (2018), pp. 1-21.</w:t>
            </w:r>
            <w:r w:rsidRPr="00660D2E">
              <w:rPr>
                <w:rFonts w:ascii="Arial" w:hAnsi="Arial" w:cs="Arial"/>
              </w:rPr>
              <w:tab/>
            </w:r>
            <w:r w:rsidRPr="00660D2E">
              <w:rPr>
                <w:rFonts w:ascii="Arial" w:hAnsi="Arial" w:cs="Arial"/>
              </w:rPr>
              <w:tab/>
            </w:r>
          </w:p>
          <w:p w:rsidR="0041559C" w:rsidRPr="00537653" w:rsidRDefault="0041559C" w:rsidP="00773C5D">
            <w:pPr>
              <w:rPr>
                <w:rFonts w:ascii="Arial" w:hAnsi="Arial" w:cs="Arial"/>
              </w:rPr>
            </w:pPr>
          </w:p>
        </w:tc>
      </w:tr>
      <w:tr w:rsidR="0041559C" w:rsidRPr="00537653" w:rsidTr="00773C5D">
        <w:tc>
          <w:tcPr>
            <w:tcW w:w="1560" w:type="dxa"/>
          </w:tcPr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  <w:r w:rsidRPr="00537653">
              <w:rPr>
                <w:rFonts w:ascii="Arial" w:hAnsi="Arial" w:cs="Arial"/>
                <w:u w:val="single"/>
              </w:rPr>
              <w:lastRenderedPageBreak/>
              <w:t>Experiencia Profesional</w:t>
            </w: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  <w:p w:rsidR="0041559C" w:rsidRPr="00537653" w:rsidRDefault="0041559C" w:rsidP="00773C5D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7512" w:type="dxa"/>
            <w:gridSpan w:val="2"/>
            <w:tcBorders>
              <w:right w:val="single" w:sz="4" w:space="0" w:color="auto"/>
            </w:tcBorders>
            <w:vAlign w:val="center"/>
          </w:tcPr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Ayudante de Derecho Eclesiástico del Estado en el Centro Universitario Villanueva, adscrito a la UCM, 1996/1997-1997/1998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Titular de Derecho Eclesiástico del Estado en el Centro Universitario Villanueva, adscrito a la UCM, 1998/1999-2009/2010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Titular interina de Derecho Eclesiástico del Estado en UCM, 2010-2015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Contratada Doctora de Derecho Eclesiástico del Estado en UCM, 2015-2019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  <w:r w:rsidRPr="00537653">
              <w:rPr>
                <w:rFonts w:ascii="Arial" w:hAnsi="Arial" w:cs="Arial"/>
              </w:rPr>
              <w:t>Profesora Titular de Universidad de Derecho Eclesiástico del Estado en UCM, desde 1 de abril de 2019 (pendiente de publicación en el BOE).</w:t>
            </w:r>
          </w:p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049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41559C" w:rsidRPr="00537653" w:rsidRDefault="0041559C" w:rsidP="00773C5D">
            <w:pPr>
              <w:jc w:val="both"/>
              <w:rPr>
                <w:rFonts w:ascii="Arial" w:hAnsi="Arial" w:cs="Arial"/>
              </w:rPr>
            </w:pPr>
          </w:p>
        </w:tc>
      </w:tr>
    </w:tbl>
    <w:p w:rsidR="00FD778C" w:rsidRDefault="00FD778C"/>
    <w:sectPr w:rsidR="00FD778C" w:rsidSect="00FD77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B35" w:rsidRDefault="008A1B35" w:rsidP="006E5817">
      <w:pPr>
        <w:spacing w:after="0" w:line="240" w:lineRule="auto"/>
      </w:pPr>
      <w:r>
        <w:separator/>
      </w:r>
    </w:p>
  </w:endnote>
  <w:endnote w:type="continuationSeparator" w:id="0">
    <w:p w:rsidR="008A1B35" w:rsidRDefault="008A1B35" w:rsidP="006E58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B35" w:rsidRDefault="008A1B35" w:rsidP="006E5817">
      <w:pPr>
        <w:spacing w:after="0" w:line="240" w:lineRule="auto"/>
      </w:pPr>
      <w:r>
        <w:separator/>
      </w:r>
    </w:p>
  </w:footnote>
  <w:footnote w:type="continuationSeparator" w:id="0">
    <w:p w:rsidR="008A1B35" w:rsidRDefault="008A1B35" w:rsidP="006E58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Encabezado"/>
    </w:pPr>
    <w:r w:rsidRPr="006E5817">
      <w:drawing>
        <wp:inline distT="0" distB="0" distL="0" distR="0">
          <wp:extent cx="1880302" cy="484039"/>
          <wp:effectExtent l="19050" t="0" r="5648" b="0"/>
          <wp:docPr id="10" name="Imagen 10" descr="C:\Users\lzuloaga\AppData\Local\Temp\Rar$DIa0.853\Marca UCM Alternativa logo negr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0302" cy="4840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E5817" w:rsidRDefault="006E5817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817" w:rsidRDefault="006E5817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6B11FA"/>
    <w:multiLevelType w:val="hybridMultilevel"/>
    <w:tmpl w:val="4782A5D6"/>
    <w:lvl w:ilvl="0" w:tplc="D898EB6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715CEE"/>
    <w:multiLevelType w:val="hybridMultilevel"/>
    <w:tmpl w:val="4BD24698"/>
    <w:lvl w:ilvl="0" w:tplc="92068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9C"/>
    <w:rsid w:val="0041559C"/>
    <w:rsid w:val="006E5817"/>
    <w:rsid w:val="008A1B35"/>
    <w:rsid w:val="00A852A4"/>
    <w:rsid w:val="00BB38E3"/>
    <w:rsid w:val="00C2758D"/>
    <w:rsid w:val="00DB3D89"/>
    <w:rsid w:val="00FD77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59C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155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41559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559C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6E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E5817"/>
  </w:style>
  <w:style w:type="paragraph" w:styleId="Piedepgina">
    <w:name w:val="footer"/>
    <w:basedOn w:val="Normal"/>
    <w:link w:val="PiedepginaCar"/>
    <w:uiPriority w:val="99"/>
    <w:semiHidden/>
    <w:unhideWhenUsed/>
    <w:rsid w:val="006E58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E5817"/>
  </w:style>
  <w:style w:type="paragraph" w:styleId="Textodeglobo">
    <w:name w:val="Balloon Text"/>
    <w:basedOn w:val="Normal"/>
    <w:link w:val="TextodegloboCar"/>
    <w:uiPriority w:val="99"/>
    <w:semiHidden/>
    <w:unhideWhenUsed/>
    <w:rsid w:val="006E58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58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statoechiese.us14.list-manage.com/track/click?u=dafb541e90c3dd066bfdd34f4&amp;id=aa8eaf2573&amp;e=fdfb69bf57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844</Words>
  <Characters>4643</Characters>
  <Application>Microsoft Office Word</Application>
  <DocSecurity>0</DocSecurity>
  <Lines>38</Lines>
  <Paragraphs>10</Paragraphs>
  <ScaleCrop>false</ScaleCrop>
  <Company/>
  <LinksUpToDate>false</LinksUpToDate>
  <CharactersWithSpaces>5477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4</cp:revision>
  <dcterms:created xsi:type="dcterms:W3CDTF">2019-06-27T10:24:00Z</dcterms:created>
  <dcterms:modified xsi:type="dcterms:W3CDTF">2019-07-02T17:05:00Z</dcterms:modified>
</cp:coreProperties>
</file>