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2" w:type="dxa"/>
        <w:shd w:val="clear" w:color="auto" w:fill="CED7E7"/>
        <w:tblLayout w:type="fixed"/>
        <w:tblLook w:val="0000"/>
      </w:tblPr>
      <w:tblGrid>
        <w:gridCol w:w="1538"/>
        <w:gridCol w:w="5729"/>
        <w:gridCol w:w="1108"/>
      </w:tblGrid>
      <w:tr w:rsidR="006C08A4">
        <w:trPr>
          <w:cantSplit/>
          <w:trHeight w:val="714"/>
        </w:trPr>
        <w:tc>
          <w:tcPr>
            <w:tcW w:w="726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AD3884">
            <w:pPr>
              <w:pStyle w:val="CuerpoA"/>
              <w:jc w:val="center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  <w:color w:val="4F81BD" w:themeColor="accent1"/>
                <w:sz w:val="44"/>
                <w:szCs w:val="44"/>
              </w:rPr>
              <w:t>TITULAR7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Nº ECTS</w:t>
            </w:r>
          </w:p>
        </w:tc>
      </w:tr>
      <w:tr w:rsidR="006C08A4" w:rsidRPr="004E315F">
        <w:trPr>
          <w:cantSplit/>
          <w:trHeight w:val="418"/>
        </w:trPr>
        <w:tc>
          <w:tcPr>
            <w:tcW w:w="7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u w:val="single"/>
              </w:rPr>
              <w:t>MATERIA</w:t>
            </w:r>
            <w:r>
              <w:rPr>
                <w:rStyle w:val="Ninguno"/>
                <w:sz w:val="18"/>
                <w:szCs w:val="18"/>
              </w:rPr>
              <w:t>: FILOSOFIA DEL DER</w:t>
            </w:r>
            <w:r w:rsidR="004E315F">
              <w:rPr>
                <w:rStyle w:val="Ninguno"/>
                <w:sz w:val="18"/>
                <w:szCs w:val="18"/>
              </w:rPr>
              <w:t xml:space="preserve">ECHO, </w:t>
            </w:r>
            <w:r w:rsidR="00AD3884">
              <w:rPr>
                <w:rStyle w:val="Ninguno"/>
                <w:sz w:val="18"/>
                <w:szCs w:val="18"/>
              </w:rPr>
              <w:t xml:space="preserve">INTRODUCCIÓN AL </w:t>
            </w:r>
            <w:r>
              <w:rPr>
                <w:rStyle w:val="Ninguno"/>
                <w:sz w:val="18"/>
                <w:szCs w:val="18"/>
              </w:rPr>
              <w:t>SISTEMA JURÍDICO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Pr="00AD3884" w:rsidRDefault="006C08A4">
            <w:pPr>
              <w:rPr>
                <w:lang w:val="es-ES"/>
              </w:rPr>
            </w:pPr>
          </w:p>
        </w:tc>
      </w:tr>
      <w:tr w:rsidR="006C08A4" w:rsidRPr="004E315F">
        <w:trPr>
          <w:cantSplit/>
          <w:trHeight w:val="106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  <w:r>
              <w:rPr>
                <w:rStyle w:val="Ninguno"/>
                <w:sz w:val="18"/>
                <w:szCs w:val="18"/>
                <w:u w:val="single"/>
              </w:rPr>
              <w:t>Perfil del profesor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jc w:val="both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Experto en </w:t>
            </w:r>
            <w:r>
              <w:rPr>
                <w:rStyle w:val="Ninguno"/>
                <w:sz w:val="18"/>
                <w:szCs w:val="18"/>
              </w:rPr>
              <w:t xml:space="preserve">Teoría de la Justicia, Teoría del Derecho y Filosofía del Derecho, Filosofía contemporánea, Estudios de género, Derechos Humanos, Teoría de la Literatura y Literatura comparada, </w:t>
            </w:r>
            <w:proofErr w:type="spellStart"/>
            <w:r>
              <w:rPr>
                <w:rStyle w:val="Ninguno"/>
                <w:sz w:val="18"/>
                <w:szCs w:val="18"/>
              </w:rPr>
              <w:t>Comparative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Jurisprudence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&amp; Legal </w:t>
            </w:r>
            <w:proofErr w:type="spellStart"/>
            <w:r>
              <w:rPr>
                <w:rStyle w:val="Ninguno"/>
                <w:sz w:val="18"/>
                <w:szCs w:val="18"/>
              </w:rPr>
              <w:t>Theory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</w:rPr>
              <w:t>Gender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Studies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</w:rPr>
              <w:t>Feminist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Legal </w:t>
            </w:r>
            <w:proofErr w:type="spellStart"/>
            <w:r>
              <w:rPr>
                <w:rStyle w:val="Ninguno"/>
                <w:sz w:val="18"/>
                <w:szCs w:val="18"/>
              </w:rPr>
              <w:t>Studies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Social </w:t>
            </w:r>
            <w:proofErr w:type="spellStart"/>
            <w:r>
              <w:rPr>
                <w:rStyle w:val="Ninguno"/>
                <w:sz w:val="18"/>
                <w:szCs w:val="18"/>
              </w:rPr>
              <w:t>Anthropology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Social </w:t>
            </w:r>
            <w:proofErr w:type="spellStart"/>
            <w:r>
              <w:rPr>
                <w:rStyle w:val="Ninguno"/>
                <w:sz w:val="18"/>
                <w:szCs w:val="18"/>
              </w:rPr>
              <w:t>Philosophy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</w:rPr>
              <w:t>Law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applied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to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social </w:t>
            </w:r>
            <w:proofErr w:type="spellStart"/>
            <w:r>
              <w:rPr>
                <w:rStyle w:val="Ninguno"/>
                <w:sz w:val="18"/>
                <w:szCs w:val="18"/>
              </w:rPr>
              <w:t>structures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&amp; </w:t>
            </w:r>
            <w:proofErr w:type="spellStart"/>
            <w:r>
              <w:rPr>
                <w:rStyle w:val="Ninguno"/>
                <w:sz w:val="18"/>
                <w:szCs w:val="18"/>
              </w:rPr>
              <w:t>working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organizations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Cultural </w:t>
            </w:r>
            <w:proofErr w:type="spellStart"/>
            <w:r>
              <w:rPr>
                <w:rStyle w:val="Ninguno"/>
                <w:sz w:val="18"/>
                <w:szCs w:val="18"/>
              </w:rPr>
              <w:t>Law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</w:rPr>
              <w:t>Contemporary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Aesthetics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Art Business &amp; Cultural </w:t>
            </w:r>
            <w:proofErr w:type="spellStart"/>
            <w:r>
              <w:rPr>
                <w:rStyle w:val="Ninguno"/>
                <w:sz w:val="18"/>
                <w:szCs w:val="18"/>
              </w:rPr>
              <w:t>management</w:t>
            </w:r>
            <w:proofErr w:type="spellEnd"/>
            <w:r>
              <w:rPr>
                <w:rStyle w:val="Ninguno"/>
                <w:sz w:val="18"/>
                <w:szCs w:val="18"/>
              </w:rPr>
              <w:t>.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Doctorado en Derecho (Filosofía del Derecho y Teoría general del Derecho), Universidad Complutense de Madrid. </w:t>
            </w: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Doctorado en Filosofía y Letras (Teoría Comparada), Universidad Autónoma de Madrid.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n-US"/>
              </w:rPr>
              <w:t>MgSc</w:t>
            </w:r>
            <w:proofErr w:type="spellEnd"/>
            <w:r>
              <w:rPr>
                <w:rStyle w:val="Ninguno"/>
                <w:sz w:val="18"/>
                <w:szCs w:val="18"/>
                <w:lang w:val="en-US"/>
              </w:rPr>
              <w:t xml:space="preserve"> in Comparative Constitutional Law and Legal Theory, </w:t>
            </w:r>
            <w:proofErr w:type="spellStart"/>
            <w:r>
              <w:rPr>
                <w:rStyle w:val="Ninguno"/>
                <w:sz w:val="18"/>
                <w:szCs w:val="18"/>
                <w:lang w:val="en-US"/>
              </w:rPr>
              <w:t>Universit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é </w:t>
            </w:r>
            <w:r>
              <w:rPr>
                <w:rStyle w:val="Ninguno"/>
                <w:sz w:val="18"/>
                <w:szCs w:val="18"/>
                <w:lang w:val="nl-NL"/>
              </w:rPr>
              <w:t>Paris X - Nanterre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>Doctorate Studies in Law and Society , Paris X-Nanterre University Paris, France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- </w:t>
            </w:r>
            <w:r>
              <w:rPr>
                <w:rStyle w:val="Ninguno"/>
                <w:sz w:val="18"/>
                <w:szCs w:val="18"/>
                <w:lang w:val="pt-PT"/>
              </w:rPr>
              <w:t xml:space="preserve">Phil.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– </w:t>
            </w:r>
            <w:r>
              <w:rPr>
                <w:rStyle w:val="Ninguno"/>
                <w:sz w:val="18"/>
                <w:szCs w:val="18"/>
                <w:lang w:val="en-US"/>
              </w:rPr>
              <w:t xml:space="preserve">PhD. in Public Law </w:t>
            </w: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n-US"/>
              </w:rPr>
              <w:t>MSc</w:t>
            </w:r>
            <w:proofErr w:type="spellEnd"/>
            <w:r>
              <w:rPr>
                <w:rStyle w:val="Ninguno"/>
                <w:sz w:val="18"/>
                <w:szCs w:val="18"/>
                <w:lang w:val="en-US"/>
              </w:rPr>
              <w:t xml:space="preserve"> in Law, Anthropology and Society, London School of Economics and Political Science (LSE) (UK)</w:t>
            </w:r>
          </w:p>
          <w:p w:rsidR="00F0245F" w:rsidRDefault="00F0245F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F0245F" w:rsidRPr="004E315F" w:rsidRDefault="00F0245F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s-ES"/>
              </w:rPr>
            </w:pPr>
            <w:r w:rsidRPr="004E315F">
              <w:rPr>
                <w:rStyle w:val="Ninguno"/>
                <w:sz w:val="18"/>
                <w:szCs w:val="18"/>
                <w:lang w:val="es-ES"/>
              </w:rPr>
              <w:t>2 Sexenios Investigación.</w:t>
            </w:r>
          </w:p>
          <w:p w:rsidR="006C08A4" w:rsidRPr="004E315F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s-ES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</w:rPr>
              <w:t>Experiencia docente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Profesora Titular de la Universidad Complutense de Madrid (desde febrero de 2012)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Puestos docentes desempeñados con anterioridad: </w:t>
            </w:r>
            <w:r>
              <w:rPr>
                <w:rStyle w:val="Ninguno"/>
                <w:sz w:val="18"/>
                <w:szCs w:val="18"/>
              </w:rPr>
              <w:t xml:space="preserve">Profesora Contratada Doctora ( Universidad Complutense de Madrid) / Maître </w:t>
            </w:r>
            <w:proofErr w:type="spellStart"/>
            <w:r>
              <w:rPr>
                <w:rStyle w:val="Ninguno"/>
                <w:sz w:val="18"/>
                <w:szCs w:val="18"/>
              </w:rPr>
              <w:t>assistante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et </w:t>
            </w:r>
            <w:proofErr w:type="spellStart"/>
            <w:r>
              <w:rPr>
                <w:rStyle w:val="Ninguno"/>
                <w:sz w:val="18"/>
                <w:szCs w:val="18"/>
              </w:rPr>
              <w:t>Attaché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Ninguno"/>
                <w:sz w:val="18"/>
                <w:szCs w:val="18"/>
              </w:rPr>
              <w:t>Recherche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 (</w:t>
            </w:r>
            <w:proofErr w:type="spellStart"/>
            <w:r>
              <w:rPr>
                <w:rStyle w:val="Ninguno"/>
                <w:sz w:val="18"/>
                <w:szCs w:val="18"/>
              </w:rPr>
              <w:t>Université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Paris X-</w:t>
            </w:r>
            <w:proofErr w:type="spellStart"/>
            <w:r>
              <w:rPr>
                <w:rStyle w:val="Ninguno"/>
                <w:sz w:val="18"/>
                <w:szCs w:val="18"/>
              </w:rPr>
              <w:t>Nanterre</w:t>
            </w:r>
            <w:proofErr w:type="spellEnd"/>
            <w:r>
              <w:rPr>
                <w:rStyle w:val="Ninguno"/>
                <w:sz w:val="18"/>
                <w:szCs w:val="18"/>
              </w:rPr>
              <w:t>) / Profesora Ayudante (Universidad Complutense de Madrid)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Profesora colaboradora y profesora invitada en las siguientes Universidades extranjeras: </w:t>
            </w:r>
            <w:r>
              <w:rPr>
                <w:rStyle w:val="Ninguno"/>
                <w:sz w:val="18"/>
                <w:szCs w:val="18"/>
              </w:rPr>
              <w:t xml:space="preserve">Uppsala, Estocolmo, </w:t>
            </w:r>
            <w:proofErr w:type="spellStart"/>
            <w:r>
              <w:rPr>
                <w:rStyle w:val="Ninguno"/>
                <w:sz w:val="18"/>
                <w:szCs w:val="18"/>
              </w:rPr>
              <w:t>Rouen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</w:rPr>
              <w:t>Versailles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Saint-</w:t>
            </w:r>
            <w:proofErr w:type="spellStart"/>
            <w:r>
              <w:rPr>
                <w:rStyle w:val="Ninguno"/>
                <w:sz w:val="18"/>
                <w:szCs w:val="18"/>
              </w:rPr>
              <w:t>Quentin</w:t>
            </w:r>
            <w:proofErr w:type="spellEnd"/>
            <w:r>
              <w:rPr>
                <w:rStyle w:val="Ninguno"/>
                <w:sz w:val="18"/>
                <w:szCs w:val="18"/>
              </w:rPr>
              <w:t>, UCL (</w:t>
            </w:r>
            <w:proofErr w:type="spellStart"/>
            <w:r>
              <w:rPr>
                <w:rStyle w:val="Ninguno"/>
                <w:sz w:val="18"/>
                <w:szCs w:val="18"/>
              </w:rPr>
              <w:t>University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City of London), LSE (London </w:t>
            </w:r>
            <w:proofErr w:type="spellStart"/>
            <w:r>
              <w:rPr>
                <w:rStyle w:val="Ninguno"/>
                <w:sz w:val="18"/>
                <w:szCs w:val="18"/>
              </w:rPr>
              <w:t>School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Ninguno"/>
                <w:sz w:val="18"/>
                <w:szCs w:val="18"/>
              </w:rPr>
              <w:t>Economics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), Portland </w:t>
            </w:r>
            <w:proofErr w:type="spellStart"/>
            <w:r>
              <w:rPr>
                <w:rStyle w:val="Ninguno"/>
                <w:sz w:val="18"/>
                <w:szCs w:val="18"/>
              </w:rPr>
              <w:t>State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University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</w:rPr>
              <w:t>University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of British Columbia (Vancouver, CA).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</w:rPr>
              <w:t>Experiencia investigadora en Centros de investigación extranjeros</w:t>
            </w:r>
          </w:p>
          <w:p w:rsidR="006C08A4" w:rsidRDefault="006C08A4">
            <w:pPr>
              <w:pStyle w:val="CuerpoA"/>
              <w:tabs>
                <w:tab w:val="left" w:pos="174"/>
              </w:tabs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Research Fellow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of </w:t>
            </w:r>
            <w:r>
              <w:rPr>
                <w:rStyle w:val="Ninguno"/>
                <w:sz w:val="18"/>
                <w:szCs w:val="18"/>
                <w:lang w:val="nl-NL"/>
              </w:rPr>
              <w:t>DFAIT - Governement of Can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n-US"/>
              </w:rPr>
              <w:t>ada</w:t>
            </w:r>
            <w:proofErr w:type="spellEnd"/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 at British Columbia University</w:t>
            </w:r>
          </w:p>
          <w:p w:rsidR="006C08A4" w:rsidRPr="00AD388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Research Fellow </w:t>
            </w:r>
            <w:r>
              <w:rPr>
                <w:rStyle w:val="Ninguno"/>
                <w:sz w:val="18"/>
                <w:szCs w:val="18"/>
                <w:lang w:val="en-US"/>
              </w:rPr>
              <w:t>at Centre for Women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’s and Gender Studies – </w:t>
            </w:r>
            <w:r>
              <w:rPr>
                <w:rStyle w:val="Ninguno"/>
                <w:sz w:val="18"/>
                <w:szCs w:val="18"/>
                <w:lang w:val="en-US"/>
              </w:rPr>
              <w:t>University of British Columbia, Vancouver, Canada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>Project Manager - Advanced Faculty Research Program at Lewis &amp; Clark University Portland, OR (US)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Visiting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>Researcher at</w:t>
            </w:r>
            <w:r>
              <w:rPr>
                <w:rStyle w:val="Ninguno"/>
                <w:sz w:val="18"/>
                <w:szCs w:val="18"/>
                <w:lang w:val="en-US"/>
              </w:rPr>
              <w:t xml:space="preserve"> Institute for Creative and Cultural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 </w:t>
            </w:r>
            <w:r>
              <w:rPr>
                <w:rStyle w:val="Ninguno"/>
                <w:sz w:val="18"/>
                <w:szCs w:val="18"/>
                <w:lang w:val="en-US"/>
              </w:rPr>
              <w:t>Entrepreneurship at Goldsmiths University of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 </w:t>
            </w:r>
            <w:r>
              <w:rPr>
                <w:rStyle w:val="Ninguno"/>
                <w:sz w:val="18"/>
                <w:szCs w:val="18"/>
                <w:lang w:val="it-IT"/>
              </w:rPr>
              <w:t>London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>Postdoctoral Research Fellow at Stockholm University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Visiting Researcher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– Quotas Project -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n-US"/>
              </w:rPr>
              <w:t>Statsvetenskapliga</w:t>
            </w:r>
            <w:proofErr w:type="spellEnd"/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n-US"/>
              </w:rPr>
              <w:t>Institutionen</w:t>
            </w:r>
            <w:proofErr w:type="spellEnd"/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 -Department of Political Science - Stockholm University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Post-Doctoral Fellowship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– </w:t>
            </w:r>
            <w:r>
              <w:rPr>
                <w:rStyle w:val="Ninguno"/>
                <w:sz w:val="18"/>
                <w:szCs w:val="18"/>
                <w:lang w:val="en-US"/>
              </w:rPr>
              <w:t xml:space="preserve">EU-MEC- </w:t>
            </w:r>
            <w:proofErr w:type="spellStart"/>
            <w:r>
              <w:rPr>
                <w:rStyle w:val="Ninguno"/>
                <w:sz w:val="18"/>
                <w:szCs w:val="18"/>
                <w:lang w:val="en-US"/>
              </w:rPr>
              <w:t>Fullbright</w:t>
            </w:r>
            <w:proofErr w:type="spellEnd"/>
            <w:r>
              <w:rPr>
                <w:rStyle w:val="Ninguno"/>
                <w:sz w:val="18"/>
                <w:szCs w:val="18"/>
                <w:lang w:val="en-US"/>
              </w:rPr>
              <w:t xml:space="preserve"> Program - Spanish Ministry of Education and Research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Visiting Researcher - European Law Research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>C</w:t>
            </w:r>
            <w:r>
              <w:rPr>
                <w:rStyle w:val="Ninguno"/>
                <w:sz w:val="18"/>
                <w:szCs w:val="18"/>
                <w:lang w:val="fr-FR"/>
              </w:rPr>
              <w:t xml:space="preserve">entre 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– </w:t>
            </w:r>
            <w:r>
              <w:rPr>
                <w:rStyle w:val="Ninguno"/>
                <w:sz w:val="18"/>
                <w:szCs w:val="18"/>
                <w:lang w:val="en-US"/>
              </w:rPr>
              <w:t>Harvard Law School  - Harvard University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Allocataire de recherche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Université Paris </w:t>
            </w:r>
            <w:r>
              <w:rPr>
                <w:rStyle w:val="Ninguno"/>
                <w:sz w:val="18"/>
                <w:szCs w:val="18"/>
              </w:rPr>
              <w:t xml:space="preserve">X </w:t>
            </w:r>
            <w:r>
              <w:rPr>
                <w:rStyle w:val="Ninguno"/>
                <w:sz w:val="18"/>
                <w:szCs w:val="18"/>
                <w:lang w:val="fr-FR"/>
              </w:rPr>
              <w:t xml:space="preserve">Nanterre </w:t>
            </w:r>
            <w:r>
              <w:rPr>
                <w:rStyle w:val="Ninguno"/>
                <w:sz w:val="18"/>
                <w:szCs w:val="18"/>
              </w:rPr>
              <w:t xml:space="preserve">et </w:t>
            </w:r>
            <w:proofErr w:type="spellStart"/>
            <w:r>
              <w:rPr>
                <w:rStyle w:val="Ninguno"/>
                <w:sz w:val="18"/>
                <w:szCs w:val="18"/>
              </w:rPr>
              <w:t>Conseil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</w:rPr>
              <w:t>d’Etat</w:t>
            </w:r>
            <w:proofErr w:type="spellEnd"/>
          </w:p>
          <w:p w:rsidR="006C08A4" w:rsidRDefault="00647684">
            <w:pPr>
              <w:pStyle w:val="Cuerpo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Miembro investigador permanente del Instituto de Derechos Humanos (UCM)</w:t>
            </w:r>
          </w:p>
          <w:p w:rsidR="006C08A4" w:rsidRDefault="00647684">
            <w:pPr>
              <w:pStyle w:val="Cuerpo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Miembro investigador del Centre de </w:t>
            </w:r>
            <w:proofErr w:type="spellStart"/>
            <w:r>
              <w:rPr>
                <w:rStyle w:val="Ninguno"/>
                <w:sz w:val="18"/>
                <w:szCs w:val="18"/>
              </w:rPr>
              <w:t>Théorie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du </w:t>
            </w:r>
            <w:proofErr w:type="spellStart"/>
            <w:r>
              <w:rPr>
                <w:rStyle w:val="Ninguno"/>
                <w:sz w:val="18"/>
                <w:szCs w:val="18"/>
              </w:rPr>
              <w:t>droit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Ninguno"/>
                <w:sz w:val="18"/>
                <w:szCs w:val="18"/>
              </w:rPr>
              <w:t>Univeristé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Paris X)</w:t>
            </w:r>
          </w:p>
        </w:tc>
      </w:tr>
      <w:tr w:rsidR="006C08A4">
        <w:trPr>
          <w:cantSplit/>
          <w:trHeight w:val="219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  <w:r>
              <w:rPr>
                <w:rStyle w:val="Ninguno"/>
                <w:sz w:val="18"/>
                <w:szCs w:val="18"/>
                <w:u w:val="single"/>
              </w:rPr>
              <w:lastRenderedPageBreak/>
              <w:t>Líneas de investigación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1. Theory of Justice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2. Transitional Justice and Global Justice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3. Contemporary Legal Theory and Jurisprudence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4. Gender and Feminist Legal Studies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5. Social Anthropology, Sociology, Social Philosophy,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6. Disabilities and Discrimination: Equality Law applied to social structures &amp; working organization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7. </w:t>
            </w:r>
            <w:r>
              <w:rPr>
                <w:rStyle w:val="Ninguno"/>
                <w:sz w:val="18"/>
                <w:szCs w:val="18"/>
                <w:lang w:val="it-IT"/>
              </w:rPr>
              <w:t>Cultural Law</w:t>
            </w:r>
            <w:r w:rsidRPr="00AD3884">
              <w:rPr>
                <w:rStyle w:val="Ninguno"/>
                <w:sz w:val="18"/>
                <w:szCs w:val="18"/>
                <w:lang w:val="en-US"/>
              </w:rPr>
              <w:t xml:space="preserve"> / </w:t>
            </w:r>
            <w:r>
              <w:rPr>
                <w:rStyle w:val="Ninguno"/>
                <w:sz w:val="18"/>
                <w:szCs w:val="18"/>
                <w:lang w:val="en-US"/>
              </w:rPr>
              <w:t>Art Business &amp; Cultural management</w:t>
            </w:r>
          </w:p>
          <w:p w:rsidR="006C08A4" w:rsidRPr="00AD3884" w:rsidRDefault="00647684">
            <w:pPr>
              <w:pStyle w:val="CuerpoA"/>
              <w:spacing w:after="0" w:line="240" w:lineRule="auto"/>
              <w:rPr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8. Comparative Theory of Literature &amp; Contemporary Aesthetics</w:t>
            </w:r>
          </w:p>
        </w:tc>
      </w:tr>
      <w:tr w:rsidR="006C08A4" w:rsidRPr="004E315F">
        <w:trPr>
          <w:cantSplit/>
          <w:trHeight w:val="28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  <w:r>
              <w:rPr>
                <w:rStyle w:val="Ninguno"/>
                <w:sz w:val="18"/>
                <w:szCs w:val="18"/>
                <w:u w:val="single"/>
              </w:rPr>
              <w:t>Proyectos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</w:rPr>
              <w:t>Proyectos de investigación en la actualidad (2019 - )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IP del Proyecto de Investigación (MED) </w:t>
            </w:r>
            <w:proofErr w:type="spellStart"/>
            <w:r>
              <w:rPr>
                <w:rStyle w:val="Ninguno"/>
                <w:sz w:val="18"/>
                <w:szCs w:val="18"/>
              </w:rPr>
              <w:t>Transversalidad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en Cultura contemporánea : </w:t>
            </w:r>
            <w:proofErr w:type="spellStart"/>
            <w:r>
              <w:rPr>
                <w:rStyle w:val="Ninguno"/>
                <w:sz w:val="18"/>
                <w:szCs w:val="18"/>
              </w:rPr>
              <w:t>Interseccionalidad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 en estudios culturales, Universidad Complutense de Madrid – </w:t>
            </w:r>
            <w:r>
              <w:rPr>
                <w:rStyle w:val="Ninguno"/>
                <w:sz w:val="18"/>
                <w:szCs w:val="18"/>
                <w:lang w:val="pt-PT"/>
              </w:rPr>
              <w:t>Grupo UCM 940957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Miembro del Proyecto de </w:t>
            </w:r>
            <w:proofErr w:type="spellStart"/>
            <w:r>
              <w:rPr>
                <w:rStyle w:val="Ninguno"/>
                <w:sz w:val="18"/>
                <w:szCs w:val="18"/>
              </w:rPr>
              <w:t>Investigació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n 'FRENCH NUDGE PROJECT: Extralegal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normativities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public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policies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>,</w:t>
            </w:r>
            <w:r>
              <w:rPr>
                <w:rStyle w:val="Ninguno"/>
                <w:sz w:val="18"/>
                <w:szCs w:val="18"/>
              </w:rPr>
              <w:t> 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Institute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d</w:t>
            </w:r>
            <w:r>
              <w:rPr>
                <w:rStyle w:val="Ninguno"/>
                <w:sz w:val="18"/>
                <w:szCs w:val="18"/>
              </w:rPr>
              <w:t>e</w:t>
            </w:r>
            <w:r>
              <w:rPr>
                <w:rStyle w:val="Ninguno"/>
                <w:sz w:val="18"/>
                <w:szCs w:val="18"/>
                <w:lang w:val="fr-FR"/>
              </w:rPr>
              <w:t xml:space="preserve"> Sciences Politiques (Sciences PO Paris).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</w:rPr>
            </w:pPr>
          </w:p>
          <w:p w:rsidR="006C08A4" w:rsidRDefault="00647684">
            <w:pPr>
              <w:pStyle w:val="CuerpoA"/>
              <w:spacing w:after="0" w:line="240" w:lineRule="auto"/>
            </w:pPr>
            <w:r>
              <w:rPr>
                <w:rStyle w:val="Ninguno"/>
                <w:sz w:val="18"/>
                <w:szCs w:val="18"/>
              </w:rPr>
              <w:t xml:space="preserve">Miembro del Proyecto de </w:t>
            </w:r>
            <w:proofErr w:type="spellStart"/>
            <w:r>
              <w:rPr>
                <w:rStyle w:val="Ninguno"/>
                <w:sz w:val="18"/>
                <w:szCs w:val="18"/>
              </w:rPr>
              <w:t>Investigació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>n H2020 PROJECT GLOBUS '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Reconsidering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European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Contributions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to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Global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Justice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' (ARENA Centre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for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European</w:t>
            </w:r>
            <w:proofErr w:type="spellEnd"/>
            <w:r w:rsidRPr="00AD3884">
              <w:rPr>
                <w:rStyle w:val="Ningun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3884">
              <w:rPr>
                <w:rStyle w:val="Ninguno"/>
                <w:sz w:val="18"/>
                <w:szCs w:val="18"/>
                <w:lang w:val="es-ES"/>
              </w:rPr>
              <w:t>Studies</w:t>
            </w:r>
            <w:proofErr w:type="spellEnd"/>
            <w:r>
              <w:rPr>
                <w:rStyle w:val="Ninguno"/>
                <w:sz w:val="18"/>
                <w:szCs w:val="18"/>
              </w:rPr>
              <w:t xml:space="preserve">  Oslo &amp; Uppsala </w:t>
            </w:r>
            <w:proofErr w:type="spellStart"/>
            <w:r>
              <w:rPr>
                <w:rStyle w:val="Ninguno"/>
                <w:sz w:val="18"/>
                <w:szCs w:val="18"/>
              </w:rPr>
              <w:t>University</w:t>
            </w:r>
            <w:proofErr w:type="spellEnd"/>
            <w:r>
              <w:rPr>
                <w:rStyle w:val="Ninguno"/>
                <w:sz w:val="18"/>
                <w:szCs w:val="18"/>
              </w:rPr>
              <w:t>)</w:t>
            </w:r>
          </w:p>
        </w:tc>
      </w:tr>
      <w:tr w:rsidR="006C08A4">
        <w:trPr>
          <w:cantSplit/>
          <w:trHeight w:val="84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  <w:r>
              <w:rPr>
                <w:rStyle w:val="Ninguno"/>
                <w:sz w:val="18"/>
                <w:szCs w:val="18"/>
                <w:u w:val="single"/>
              </w:rPr>
              <w:lastRenderedPageBreak/>
              <w:t>Publicaciones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Selección de Monografías, Libros en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>co</w:t>
            </w:r>
            <w:proofErr w:type="spellEnd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-autoría y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>Executive</w:t>
            </w:r>
            <w:proofErr w:type="spellEnd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  <w:t>Summaries</w:t>
            </w:r>
            <w:proofErr w:type="spellEnd"/>
          </w:p>
          <w:p w:rsidR="006C08A4" w:rsidRPr="00AD3884" w:rsidRDefault="006C08A4">
            <w:pPr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</w:p>
          <w:p w:rsidR="006C08A4" w:rsidRPr="00AD388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GARCIA-BERRIO, </w:t>
            </w:r>
            <w:proofErr w:type="gram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M.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T 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&amp;</w:t>
            </w:r>
            <w:proofErr w:type="gram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TUSSEAU, G. (ed. 2018), 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The Legal Philosophy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: Essays on Jeremy Bentham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, London :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Routledge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  <w:p w:rsidR="006C08A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GARCÍ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A-BERRIO, A. &amp; GARC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Í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A-BERRIO, M.T</w:t>
            </w:r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.(</w:t>
            </w:r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2016), El Gran Formato: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Picta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Poesis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en Visual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Arts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Ars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Diputació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it-IT"/>
              </w:rPr>
              <w:t xml:space="preserve">n Provincial 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Castilla la Mancha.</w:t>
            </w:r>
          </w:p>
          <w:p w:rsidR="006C08A4" w:rsidRPr="00AD388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GARCÍA-BERRIO, </w:t>
            </w:r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M.T  (</w:t>
            </w:r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2015), Gendered Citizenship in Multicultural Europe: The Impact on Contemporary Women’s Movements, 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C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oll. FEMCITY Executive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Research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Summary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Oslo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C08A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GARCÍ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A-BERRIO, M.T. (2013 Rev.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Second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Edition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),  Medidas de protección de la mujer ante la Violencia de G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fr-FR"/>
              </w:rPr>
              <w:t>é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nero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: Claves para la igualdad,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Economist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&amp;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Jurist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Publishers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–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Grupo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Difusión :</w:t>
            </w:r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Madrid.</w:t>
            </w:r>
          </w:p>
          <w:p w:rsidR="006C08A4" w:rsidRPr="00AD388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GARCÍ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A-BERRIO, M.T (2013) 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Towards a Parity Democracy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Affirmative Action measures for the Political Progress of Women in Canada and Spain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coll.’Understanding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Canada’, Coll. 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DFAIT-Ministry of Foreign Affairs of Canad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a,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 num. 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42 :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MacGuill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-Queen’s Univ.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Press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, Toronto CA.</w:t>
            </w:r>
          </w:p>
          <w:p w:rsidR="006C08A4" w:rsidRPr="00F0245F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:rsidR="006C08A4" w:rsidRPr="00AD388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GARCÍ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it-IT"/>
              </w:rPr>
              <w:t>A-BERRIO, M.T (2012), Cultura contempor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nea: Actualidad y Futuro, Instituto Univ. 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Ortega y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Gasset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en Coll.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Revista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Occidente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pt-PT"/>
              </w:rPr>
              <w:t xml:space="preserve"> num. 378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, Madrid.</w:t>
            </w:r>
          </w:p>
          <w:p w:rsidR="006C08A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GARCÍA-BERRIO, M.T. (2011) 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Not for Women only: Equality is not a Utopia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Women’s Worlds 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Executive Research Summary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’</w:t>
            </w:r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, C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oll. FEMCITY Executive Research </w:t>
            </w:r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Summary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Osl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o &amp;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Stockholm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C08A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GARCÍA-BERRIO, M.T (2006) Las lagunas de la ley.: Hacia un Derecho flexible, Complutense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University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Press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Madrid.</w:t>
            </w:r>
          </w:p>
          <w:p w:rsidR="006C08A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GARCÍA-BERRIO, M.T. (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ed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) TROPER, M. (2004),</w:t>
            </w: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it-IT"/>
              </w:rPr>
              <w:t xml:space="preserve"> La Filosof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ía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del Derecho,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Tecnos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: Madrid-</w:t>
            </w:r>
          </w:p>
          <w:p w:rsidR="006C08A4" w:rsidRPr="00AD388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:rsidR="006C08A4" w:rsidRDefault="00647684">
            <w:pPr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GARCÍA-BERRIO, M. T (2003)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Informá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tica y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Libertades</w:t>
            </w:r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,Murcia</w:t>
            </w:r>
            <w:proofErr w:type="spellEnd"/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University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Press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: Murcia.</w:t>
            </w:r>
          </w:p>
          <w:p w:rsidR="006C08A4" w:rsidRPr="00AD3884" w:rsidRDefault="006C08A4">
            <w:pPr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:rsidR="006C08A4" w:rsidRDefault="00647684"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GARCÍA-BERRIO, M.T (2002) Mediaciones,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Conselleria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de Cultura i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>Educació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>Coll</w:t>
            </w:r>
            <w:proofErr w:type="spellEnd"/>
            <w:r w:rsidRPr="00AD3884">
              <w:rPr>
                <w:rStyle w:val="Ninguno"/>
                <w:rFonts w:ascii="Calibri" w:eastAsia="Calibri" w:hAnsi="Calibri" w:cs="Calibri"/>
                <w:sz w:val="18"/>
                <w:szCs w:val="18"/>
                <w:lang w:val="es-ES"/>
              </w:rPr>
              <w:t xml:space="preserve">. </w:t>
            </w:r>
            <w:proofErr w:type="spellStart"/>
            <w:proofErr w:type="gramStart"/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n-US"/>
              </w:rPr>
              <w:t>Ekfrasis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Ninguno"/>
                <w:rFonts w:ascii="Calibri" w:eastAsia="Calibri" w:hAnsi="Calibri" w:cs="Calibri"/>
                <w:sz w:val="18"/>
                <w:szCs w:val="18"/>
              </w:rPr>
              <w:t xml:space="preserve"> Valencia.</w:t>
            </w:r>
          </w:p>
        </w:tc>
      </w:tr>
      <w:tr w:rsidR="006C08A4">
        <w:trPr>
          <w:cantSplit/>
          <w:trHeight w:val="14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  <w:r>
              <w:rPr>
                <w:rStyle w:val="Ninguno"/>
                <w:sz w:val="18"/>
                <w:szCs w:val="18"/>
                <w:u w:val="single"/>
              </w:rPr>
              <w:t>Experiencia Profesional</w:t>
            </w:r>
          </w:p>
          <w:p w:rsidR="006C08A4" w:rsidRDefault="006C08A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u w:val="single"/>
              </w:rPr>
            </w:pPr>
          </w:p>
          <w:p w:rsidR="006C08A4" w:rsidRDefault="006C08A4">
            <w:pPr>
              <w:pStyle w:val="CuerpoA"/>
              <w:spacing w:after="0" w:line="240" w:lineRule="auto"/>
            </w:pP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8A4" w:rsidRPr="00AD3884" w:rsidRDefault="00647684">
            <w:pPr>
              <w:pStyle w:val="CuerpoA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  <w:r w:rsidRPr="00AD3884">
              <w:rPr>
                <w:rStyle w:val="Ninguno"/>
                <w:sz w:val="18"/>
                <w:szCs w:val="18"/>
                <w:lang w:val="en-US"/>
              </w:rPr>
              <w:t>External consultant in Contemporary Art Markets (Sotheby’s New York &amp; London) - MA in Art Business (Executive Formation), Executive Education Program in Business Management &amp; Art Law, Sotheby's Institute of Art (New York)</w:t>
            </w:r>
          </w:p>
        </w:tc>
      </w:tr>
    </w:tbl>
    <w:p w:rsidR="00647684" w:rsidRDefault="00647684">
      <w:pPr>
        <w:widowControl w:val="0"/>
        <w:ind w:left="324" w:hanging="324"/>
        <w:rPr>
          <w:rFonts w:cs="Times New Roman"/>
          <w:color w:val="auto"/>
          <w:sz w:val="20"/>
          <w:szCs w:val="20"/>
        </w:rPr>
      </w:pPr>
    </w:p>
    <w:sectPr w:rsidR="00647684" w:rsidSect="006C08A4">
      <w:headerReference w:type="default" r:id="rId7"/>
      <w:footerReference w:type="default" r:id="rId8"/>
      <w:pgSz w:w="11900" w:h="16840"/>
      <w:pgMar w:top="1664" w:right="1701" w:bottom="1417" w:left="1701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0F" w:rsidRDefault="00FB220F">
      <w:r>
        <w:separator/>
      </w:r>
    </w:p>
  </w:endnote>
  <w:endnote w:type="continuationSeparator" w:id="0">
    <w:p w:rsidR="00FB220F" w:rsidRDefault="00F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A4" w:rsidRDefault="006C08A4">
    <w:pPr>
      <w:pStyle w:val="Cabeceraypi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0F" w:rsidRDefault="00FB220F">
      <w:r>
        <w:separator/>
      </w:r>
    </w:p>
  </w:footnote>
  <w:footnote w:type="continuationSeparator" w:id="0">
    <w:p w:rsidR="00FB220F" w:rsidRDefault="00FB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A4" w:rsidRDefault="003F0E38">
    <w:pPr>
      <w:pStyle w:val="Encabezado1"/>
      <w:tabs>
        <w:tab w:val="clear" w:pos="8504"/>
        <w:tab w:val="right" w:pos="8478"/>
      </w:tabs>
      <w:rPr>
        <w:rFonts w:ascii="Times New Roman" w:eastAsia="Arial Unicode MS" w:hAnsi="Times New Roman" w:cs="Times New Roman"/>
        <w:color w:val="auto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43.5pt">
          <v:fill o:detectmouseclick="t"/>
          <v:imagedata r:id="rId1" o:title="image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4732"/>
    <w:multiLevelType w:val="hybridMultilevel"/>
    <w:tmpl w:val="894EE872"/>
    <w:lvl w:ilvl="0" w:tplc="7256BBEE">
      <w:start w:val="1"/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46C0EEE">
      <w:start w:val="1"/>
      <w:numFmt w:val="bullet"/>
      <w:lvlText w:val="-"/>
      <w:lvlJc w:val="left"/>
      <w:pPr>
        <w:tabs>
          <w:tab w:val="left" w:pos="174"/>
          <w:tab w:val="num" w:pos="742"/>
        </w:tabs>
        <w:ind w:left="7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2A0DFF8">
      <w:start w:val="1"/>
      <w:numFmt w:val="bullet"/>
      <w:lvlText w:val="-"/>
      <w:lvlJc w:val="left"/>
      <w:pPr>
        <w:tabs>
          <w:tab w:val="left" w:pos="174"/>
          <w:tab w:val="num" w:pos="1342"/>
        </w:tabs>
        <w:ind w:left="13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FAB642">
      <w:start w:val="1"/>
      <w:numFmt w:val="bullet"/>
      <w:lvlText w:val="-"/>
      <w:lvlJc w:val="left"/>
      <w:pPr>
        <w:tabs>
          <w:tab w:val="left" w:pos="174"/>
          <w:tab w:val="num" w:pos="1942"/>
        </w:tabs>
        <w:ind w:left="19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B30439A">
      <w:start w:val="1"/>
      <w:numFmt w:val="bullet"/>
      <w:lvlText w:val="-"/>
      <w:lvlJc w:val="left"/>
      <w:pPr>
        <w:tabs>
          <w:tab w:val="left" w:pos="174"/>
          <w:tab w:val="num" w:pos="2542"/>
        </w:tabs>
        <w:ind w:left="25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E487B2A">
      <w:start w:val="1"/>
      <w:numFmt w:val="bullet"/>
      <w:lvlText w:val="-"/>
      <w:lvlJc w:val="left"/>
      <w:pPr>
        <w:tabs>
          <w:tab w:val="left" w:pos="174"/>
          <w:tab w:val="num" w:pos="3142"/>
        </w:tabs>
        <w:ind w:left="31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18EC394">
      <w:start w:val="1"/>
      <w:numFmt w:val="bullet"/>
      <w:lvlText w:val="-"/>
      <w:lvlJc w:val="left"/>
      <w:pPr>
        <w:tabs>
          <w:tab w:val="left" w:pos="174"/>
          <w:tab w:val="num" w:pos="3742"/>
        </w:tabs>
        <w:ind w:left="37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B4F56E">
      <w:start w:val="1"/>
      <w:numFmt w:val="bullet"/>
      <w:lvlText w:val="-"/>
      <w:lvlJc w:val="left"/>
      <w:pPr>
        <w:tabs>
          <w:tab w:val="left" w:pos="174"/>
          <w:tab w:val="num" w:pos="4342"/>
        </w:tabs>
        <w:ind w:left="43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726185C">
      <w:start w:val="1"/>
      <w:numFmt w:val="bullet"/>
      <w:lvlText w:val="-"/>
      <w:lvlJc w:val="left"/>
      <w:pPr>
        <w:tabs>
          <w:tab w:val="left" w:pos="174"/>
          <w:tab w:val="num" w:pos="4942"/>
        </w:tabs>
        <w:ind w:left="494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0"/>
    <w:lvlOverride w:ilvl="0">
      <w:lvl w:ilvl="0" w:tplc="7256BBEE">
        <w:start w:val="1"/>
        <w:numFmt w:val="bullet"/>
        <w:lvlText w:val="-"/>
        <w:lvlJc w:val="left"/>
        <w:pPr>
          <w:tabs>
            <w:tab w:val="num" w:pos="145"/>
            <w:tab w:val="left" w:pos="174"/>
          </w:tabs>
          <w:ind w:left="1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46C0EEE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731"/>
          </w:tabs>
          <w:ind w:left="731" w:hanging="13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12A0DFF8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1330"/>
          </w:tabs>
          <w:ind w:left="1330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DEFAB642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1930"/>
          </w:tabs>
          <w:ind w:left="1930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B30439A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2531"/>
          </w:tabs>
          <w:ind w:left="2531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E487B2A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3131"/>
          </w:tabs>
          <w:ind w:left="3131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818EC394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3731"/>
          </w:tabs>
          <w:ind w:left="3731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CB4F56E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4331"/>
          </w:tabs>
          <w:ind w:left="4331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726185C">
        <w:start w:val="1"/>
        <w:numFmt w:val="bullet"/>
        <w:lvlText w:val="-"/>
        <w:lvlJc w:val="left"/>
        <w:pPr>
          <w:tabs>
            <w:tab w:val="left" w:pos="145"/>
            <w:tab w:val="left" w:pos="174"/>
            <w:tab w:val="num" w:pos="4931"/>
          </w:tabs>
          <w:ind w:left="4931" w:hanging="1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9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58"/>
    <w:rsid w:val="00066F86"/>
    <w:rsid w:val="00214640"/>
    <w:rsid w:val="003F0E38"/>
    <w:rsid w:val="004E315F"/>
    <w:rsid w:val="00647684"/>
    <w:rsid w:val="006B5E98"/>
    <w:rsid w:val="006C08A4"/>
    <w:rsid w:val="00AD3884"/>
    <w:rsid w:val="00B65A58"/>
    <w:rsid w:val="00F0245F"/>
    <w:rsid w:val="00FB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C08A4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08A4"/>
    <w:rPr>
      <w:u w:val="single"/>
    </w:rPr>
  </w:style>
  <w:style w:type="paragraph" w:customStyle="1" w:styleId="Encabezado1">
    <w:name w:val="Encabezado1"/>
    <w:rsid w:val="006C08A4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6C08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6C08A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6C08A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5</cp:revision>
  <dcterms:created xsi:type="dcterms:W3CDTF">2019-06-28T07:46:00Z</dcterms:created>
  <dcterms:modified xsi:type="dcterms:W3CDTF">2019-07-04T17:00:00Z</dcterms:modified>
</cp:coreProperties>
</file>