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839" w:rsidRDefault="00404839"/>
    <w:tbl>
      <w:tblPr>
        <w:tblStyle w:val="Tablaconcuadrcula"/>
        <w:tblW w:w="0" w:type="auto"/>
        <w:tblInd w:w="0" w:type="dxa"/>
        <w:tblLook w:val="04A0" w:firstRow="1" w:lastRow="0" w:firstColumn="1" w:lastColumn="0" w:noHBand="0" w:noVBand="1"/>
      </w:tblPr>
      <w:tblGrid>
        <w:gridCol w:w="2972"/>
        <w:gridCol w:w="5522"/>
      </w:tblGrid>
      <w:tr w:rsidR="00D17A1A" w:rsidTr="00D17A1A">
        <w:tc>
          <w:tcPr>
            <w:tcW w:w="2972" w:type="dxa"/>
            <w:vMerge w:val="restart"/>
          </w:tcPr>
          <w:p w:rsidR="00D17A1A" w:rsidRDefault="00D17A1A">
            <w:pPr>
              <w:spacing w:line="240" w:lineRule="auto"/>
              <w:jc w:val="center"/>
            </w:pPr>
          </w:p>
          <w:p w:rsidR="00D17A1A" w:rsidRDefault="00D17A1A">
            <w:pPr>
              <w:spacing w:line="240" w:lineRule="auto"/>
              <w:jc w:val="center"/>
            </w:pPr>
          </w:p>
          <w:p w:rsidR="00D17A1A" w:rsidRDefault="00D17A1A">
            <w:pPr>
              <w:spacing w:line="240" w:lineRule="auto"/>
              <w:jc w:val="center"/>
            </w:pPr>
            <w:r>
              <w:t>FOTO</w:t>
            </w:r>
          </w:p>
          <w:p w:rsidR="00D17A1A" w:rsidRDefault="00D17A1A">
            <w:pPr>
              <w:spacing w:line="240" w:lineRule="auto"/>
              <w:jc w:val="center"/>
            </w:pPr>
            <w:r>
              <w:t>(OPCIONAL)</w:t>
            </w:r>
          </w:p>
        </w:tc>
        <w:tc>
          <w:tcPr>
            <w:tcW w:w="5522" w:type="dxa"/>
            <w:hideMark/>
          </w:tcPr>
          <w:p w:rsidR="00D17A1A" w:rsidRDefault="007936BC" w:rsidP="007936BC">
            <w:pPr>
              <w:spacing w:line="240" w:lineRule="auto"/>
              <w:rPr>
                <w:color w:val="002060"/>
              </w:rPr>
            </w:pPr>
            <w:r>
              <w:rPr>
                <w:color w:val="002060"/>
              </w:rPr>
              <w:t xml:space="preserve">Jesús </w:t>
            </w:r>
            <w:r w:rsidRPr="007936BC">
              <w:rPr>
                <w:color w:val="002060"/>
              </w:rPr>
              <w:t xml:space="preserve">Rodríguez Márquez </w:t>
            </w:r>
          </w:p>
        </w:tc>
      </w:tr>
      <w:tr w:rsidR="00D17A1A" w:rsidTr="00D17A1A">
        <w:tc>
          <w:tcPr>
            <w:tcW w:w="2972" w:type="dxa"/>
            <w:vMerge/>
            <w:vAlign w:val="center"/>
            <w:hideMark/>
          </w:tcPr>
          <w:p w:rsidR="00D17A1A" w:rsidRDefault="00D17A1A">
            <w:pPr>
              <w:spacing w:line="240" w:lineRule="auto"/>
            </w:pPr>
          </w:p>
        </w:tc>
        <w:tc>
          <w:tcPr>
            <w:tcW w:w="5522" w:type="dxa"/>
            <w:hideMark/>
          </w:tcPr>
          <w:p w:rsidR="00D17A1A" w:rsidRDefault="007936BC" w:rsidP="007936BC">
            <w:pPr>
              <w:spacing w:line="240" w:lineRule="auto"/>
              <w:rPr>
                <w:color w:val="002060"/>
              </w:rPr>
            </w:pPr>
            <w:r w:rsidRPr="007936BC">
              <w:rPr>
                <w:color w:val="002060"/>
              </w:rPr>
              <w:t xml:space="preserve">Profesor Titular de Derecho Financiero y Tributario </w:t>
            </w:r>
          </w:p>
        </w:tc>
      </w:tr>
      <w:tr w:rsidR="00D17A1A" w:rsidTr="00D17A1A">
        <w:tc>
          <w:tcPr>
            <w:tcW w:w="2972" w:type="dxa"/>
            <w:vMerge/>
            <w:vAlign w:val="center"/>
            <w:hideMark/>
          </w:tcPr>
          <w:p w:rsidR="00D17A1A" w:rsidRDefault="00D17A1A">
            <w:pPr>
              <w:spacing w:line="240" w:lineRule="auto"/>
            </w:pPr>
          </w:p>
        </w:tc>
        <w:tc>
          <w:tcPr>
            <w:tcW w:w="5522" w:type="dxa"/>
            <w:hideMark/>
          </w:tcPr>
          <w:p w:rsidR="00D17A1A" w:rsidRDefault="00D17A1A">
            <w:pPr>
              <w:spacing w:line="240" w:lineRule="auto"/>
              <w:rPr>
                <w:color w:val="002060"/>
              </w:rPr>
            </w:pPr>
            <w:r>
              <w:rPr>
                <w:color w:val="002060"/>
              </w:rPr>
              <w:t>Departamento</w:t>
            </w:r>
          </w:p>
        </w:tc>
      </w:tr>
      <w:tr w:rsidR="00D17A1A" w:rsidTr="00D17A1A">
        <w:tc>
          <w:tcPr>
            <w:tcW w:w="2972" w:type="dxa"/>
            <w:vMerge/>
            <w:vAlign w:val="center"/>
            <w:hideMark/>
          </w:tcPr>
          <w:p w:rsidR="00D17A1A" w:rsidRDefault="00D17A1A">
            <w:pPr>
              <w:spacing w:line="240" w:lineRule="auto"/>
            </w:pPr>
          </w:p>
        </w:tc>
        <w:tc>
          <w:tcPr>
            <w:tcW w:w="5522" w:type="dxa"/>
            <w:hideMark/>
          </w:tcPr>
          <w:p w:rsidR="00D17A1A" w:rsidRDefault="00D17A1A">
            <w:pPr>
              <w:spacing w:line="240" w:lineRule="auto"/>
              <w:rPr>
                <w:color w:val="002060"/>
              </w:rPr>
            </w:pPr>
            <w:r>
              <w:rPr>
                <w:color w:val="002060"/>
              </w:rPr>
              <w:t>Despacho</w:t>
            </w:r>
          </w:p>
        </w:tc>
      </w:tr>
      <w:tr w:rsidR="00D17A1A" w:rsidTr="00D17A1A">
        <w:tc>
          <w:tcPr>
            <w:tcW w:w="2972" w:type="dxa"/>
            <w:vMerge/>
            <w:vAlign w:val="center"/>
            <w:hideMark/>
          </w:tcPr>
          <w:p w:rsidR="00D17A1A" w:rsidRDefault="00D17A1A">
            <w:pPr>
              <w:spacing w:line="240" w:lineRule="auto"/>
            </w:pPr>
          </w:p>
        </w:tc>
        <w:tc>
          <w:tcPr>
            <w:tcW w:w="5522" w:type="dxa"/>
            <w:hideMark/>
          </w:tcPr>
          <w:p w:rsidR="00D17A1A" w:rsidRDefault="00D17A1A">
            <w:pPr>
              <w:spacing w:line="240" w:lineRule="auto"/>
              <w:rPr>
                <w:color w:val="002060"/>
              </w:rPr>
            </w:pPr>
            <w:r>
              <w:rPr>
                <w:color w:val="002060"/>
              </w:rPr>
              <w:t>Teléfono</w:t>
            </w:r>
            <w:r w:rsidR="007936BC">
              <w:rPr>
                <w:color w:val="002060"/>
              </w:rPr>
              <w:t>: 91.426.37.40</w:t>
            </w:r>
          </w:p>
        </w:tc>
      </w:tr>
      <w:tr w:rsidR="00D17A1A" w:rsidTr="00D17A1A">
        <w:tc>
          <w:tcPr>
            <w:tcW w:w="2972" w:type="dxa"/>
            <w:vMerge/>
            <w:vAlign w:val="center"/>
            <w:hideMark/>
          </w:tcPr>
          <w:p w:rsidR="00D17A1A" w:rsidRDefault="00D17A1A">
            <w:pPr>
              <w:spacing w:line="240" w:lineRule="auto"/>
            </w:pPr>
          </w:p>
        </w:tc>
        <w:tc>
          <w:tcPr>
            <w:tcW w:w="5522" w:type="dxa"/>
            <w:hideMark/>
          </w:tcPr>
          <w:p w:rsidR="00D17A1A" w:rsidRDefault="00D17A1A">
            <w:pPr>
              <w:spacing w:line="240" w:lineRule="auto"/>
              <w:rPr>
                <w:color w:val="002060"/>
              </w:rPr>
            </w:pPr>
            <w:r>
              <w:rPr>
                <w:color w:val="002060"/>
              </w:rPr>
              <w:t>Correo electrónico</w:t>
            </w:r>
            <w:r w:rsidR="007936BC">
              <w:rPr>
                <w:color w:val="002060"/>
              </w:rPr>
              <w:t xml:space="preserve"> </w:t>
            </w:r>
            <w:r w:rsidR="007936BC" w:rsidRPr="007936BC">
              <w:rPr>
                <w:color w:val="002060"/>
              </w:rPr>
              <w:t>jrodriguez@fj-martin.com</w:t>
            </w:r>
          </w:p>
        </w:tc>
      </w:tr>
      <w:tr w:rsidR="000C273A" w:rsidTr="00D17A1A">
        <w:tc>
          <w:tcPr>
            <w:tcW w:w="2972" w:type="dxa"/>
            <w:hideMark/>
          </w:tcPr>
          <w:p w:rsidR="000C273A" w:rsidRDefault="000C273A">
            <w:pPr>
              <w:spacing w:line="240" w:lineRule="auto"/>
            </w:pPr>
            <w:r>
              <w:rPr>
                <w:color w:val="002060"/>
              </w:rPr>
              <w:t>Formación académica</w:t>
            </w:r>
          </w:p>
        </w:tc>
        <w:tc>
          <w:tcPr>
            <w:tcW w:w="5522" w:type="dxa"/>
            <w:hideMark/>
          </w:tcPr>
          <w:p w:rsidR="00C21D1F" w:rsidRDefault="00C21D1F" w:rsidP="00C21D1F">
            <w:pPr>
              <w:spacing w:line="240" w:lineRule="auto"/>
              <w:jc w:val="both"/>
            </w:pPr>
            <w:r>
              <w:t>-</w:t>
            </w:r>
            <w:r>
              <w:tab/>
              <w:t>Licenciado en Derecho, junio 1991</w:t>
            </w:r>
          </w:p>
          <w:p w:rsidR="000C273A" w:rsidRDefault="00C21D1F" w:rsidP="00C21D1F">
            <w:pPr>
              <w:spacing w:line="240" w:lineRule="auto"/>
              <w:jc w:val="both"/>
            </w:pPr>
            <w:r>
              <w:t>-</w:t>
            </w:r>
            <w:r>
              <w:tab/>
              <w:t>Doctor en Derecho, marzo 1997</w:t>
            </w:r>
          </w:p>
        </w:tc>
      </w:tr>
      <w:tr w:rsidR="000C273A" w:rsidTr="00D17A1A">
        <w:tc>
          <w:tcPr>
            <w:tcW w:w="2972" w:type="dxa"/>
            <w:hideMark/>
          </w:tcPr>
          <w:p w:rsidR="000C273A" w:rsidRDefault="000C273A">
            <w:pPr>
              <w:spacing w:line="240" w:lineRule="auto"/>
            </w:pPr>
            <w:r>
              <w:rPr>
                <w:color w:val="002060"/>
              </w:rPr>
              <w:t>Experiencia laboral</w:t>
            </w:r>
          </w:p>
        </w:tc>
        <w:tc>
          <w:tcPr>
            <w:tcW w:w="5522" w:type="dxa"/>
            <w:hideMark/>
          </w:tcPr>
          <w:p w:rsidR="000C273A" w:rsidRDefault="007936BC" w:rsidP="007936BC">
            <w:pPr>
              <w:spacing w:line="240" w:lineRule="auto"/>
            </w:pPr>
            <w:r>
              <w:t>Director de Estudios (Subdirección General que asumió las funciones de las anteriores Subdirecciones Generales de Estudios Tributarios y de Estudios Presupuestarios y de Gasto Público), Instituto de Estudios Fiscales (MINHAP), 14/03/2011 hasta 1/03/2016.</w:t>
            </w:r>
          </w:p>
          <w:p w:rsidR="007936BC" w:rsidRDefault="007936BC" w:rsidP="007936BC">
            <w:pPr>
              <w:spacing w:line="240" w:lineRule="auto"/>
            </w:pPr>
          </w:p>
          <w:p w:rsidR="007936BC" w:rsidRDefault="007936BC" w:rsidP="007936BC">
            <w:pPr>
              <w:spacing w:line="240" w:lineRule="auto"/>
            </w:pPr>
            <w:r>
              <w:t>Subdirector General de Estudios Tributarios, Instituto de Estudios Fiscales (MEH), 01/05/2009 a 13/03/2011</w:t>
            </w:r>
          </w:p>
          <w:p w:rsidR="007936BC" w:rsidRDefault="007936BC" w:rsidP="007936BC">
            <w:pPr>
              <w:spacing w:line="240" w:lineRule="auto"/>
            </w:pPr>
          </w:p>
          <w:p w:rsidR="007936BC" w:rsidRDefault="007936BC" w:rsidP="007936BC">
            <w:pPr>
              <w:spacing w:line="240" w:lineRule="auto"/>
            </w:pPr>
            <w:r w:rsidRPr="007936BC">
              <w:t>Letrado Gabinete Técnico del Tribunal Supremo, 15/09/2008 a 30/04/2009</w:t>
            </w:r>
          </w:p>
          <w:p w:rsidR="007936BC" w:rsidRDefault="007936BC" w:rsidP="007936BC">
            <w:pPr>
              <w:spacing w:line="240" w:lineRule="auto"/>
            </w:pPr>
          </w:p>
          <w:p w:rsidR="007936BC" w:rsidRDefault="007936BC" w:rsidP="007936BC">
            <w:pPr>
              <w:spacing w:line="240" w:lineRule="auto"/>
            </w:pPr>
            <w:r>
              <w:t>Coordinador de Área, Instituto de Estudios Fiscales (MEH), 01/09/2005 a 14/09/2008</w:t>
            </w:r>
          </w:p>
        </w:tc>
      </w:tr>
      <w:tr w:rsidR="000C273A" w:rsidRPr="007E3757" w:rsidTr="00D17A1A">
        <w:tc>
          <w:tcPr>
            <w:tcW w:w="2972" w:type="dxa"/>
            <w:hideMark/>
          </w:tcPr>
          <w:p w:rsidR="000C273A" w:rsidRDefault="000C273A">
            <w:pPr>
              <w:spacing w:line="240" w:lineRule="auto"/>
            </w:pPr>
            <w:r>
              <w:rPr>
                <w:color w:val="002060"/>
              </w:rPr>
              <w:t>Docencia</w:t>
            </w:r>
          </w:p>
        </w:tc>
        <w:tc>
          <w:tcPr>
            <w:tcW w:w="5522" w:type="dxa"/>
            <w:hideMark/>
          </w:tcPr>
          <w:p w:rsidR="00C21D1F" w:rsidRDefault="00C21D1F" w:rsidP="00C21D1F">
            <w:pPr>
              <w:spacing w:line="240" w:lineRule="auto"/>
              <w:ind w:left="459"/>
              <w:jc w:val="both"/>
            </w:pPr>
            <w:r>
              <w:t>-</w:t>
            </w:r>
            <w:r>
              <w:tab/>
              <w:t>Conferenciante habitual en seminarios organizados por la Asociación Española de Asesores Fiscales, Aranzadi, Instituto de Estudios Fiscales y UIMP.</w:t>
            </w:r>
          </w:p>
          <w:p w:rsidR="00C21D1F" w:rsidRDefault="00C21D1F" w:rsidP="00C21D1F">
            <w:pPr>
              <w:spacing w:line="240" w:lineRule="auto"/>
              <w:ind w:left="459"/>
              <w:jc w:val="both"/>
            </w:pPr>
            <w:r>
              <w:t>-</w:t>
            </w:r>
            <w:r>
              <w:tab/>
              <w:t>Dirección de 8 ediciones del Foro Tributario Madrid de Aranzadi</w:t>
            </w:r>
          </w:p>
          <w:p w:rsidR="00C21D1F" w:rsidRDefault="00C21D1F" w:rsidP="00C21D1F">
            <w:pPr>
              <w:spacing w:line="240" w:lineRule="auto"/>
              <w:ind w:left="459"/>
              <w:jc w:val="both"/>
            </w:pPr>
            <w:r>
              <w:t>-</w:t>
            </w:r>
            <w:r>
              <w:tab/>
              <w:t>Representante del Instituto de Estudios Fiscales en la Red de Presupuesto por Resultados del Banco Interamericano de Desarrollo (participación en las reuniones de la Red de Santo Domingo, 2013 y Guayaquil, 2014).</w:t>
            </w:r>
          </w:p>
          <w:p w:rsidR="00C21D1F" w:rsidRDefault="00C21D1F" w:rsidP="00C21D1F">
            <w:pPr>
              <w:spacing w:line="240" w:lineRule="auto"/>
              <w:ind w:left="459"/>
              <w:jc w:val="both"/>
            </w:pPr>
            <w:r>
              <w:t>-</w:t>
            </w:r>
            <w:r>
              <w:tab/>
              <w:t>Representante del Instituto de Estudios Fiscales en la Red Iberoamericana de Responsables de Política Fiscal, auspiciada por la Secretaría General Iberoamericana (participación en las reuniones de San José de Costa Rica, 2013 y Madrid, 2014).</w:t>
            </w:r>
          </w:p>
          <w:p w:rsidR="00C21D1F" w:rsidRDefault="00C21D1F" w:rsidP="00C21D1F">
            <w:pPr>
              <w:spacing w:line="240" w:lineRule="auto"/>
              <w:ind w:left="459"/>
              <w:jc w:val="both"/>
            </w:pPr>
            <w:r>
              <w:t>-</w:t>
            </w:r>
            <w:r>
              <w:tab/>
              <w:t xml:space="preserve">Participación habitual en los seminarios de la Red Arca </w:t>
            </w:r>
            <w:proofErr w:type="spellStart"/>
            <w:r>
              <w:t>Comunis</w:t>
            </w:r>
            <w:proofErr w:type="spellEnd"/>
            <w:r>
              <w:t>, Red de Investigación sobre Historia de la Fiscalidad Medieval y Moderna (última participación, seminario sobre La deuda pública en España (siglos XVI-XXI), 2014).</w:t>
            </w:r>
          </w:p>
          <w:p w:rsidR="000C273A" w:rsidRPr="00C21D1F" w:rsidRDefault="00C21D1F" w:rsidP="00C21D1F">
            <w:pPr>
              <w:spacing w:line="240" w:lineRule="auto"/>
              <w:ind w:left="459"/>
              <w:jc w:val="both"/>
              <w:rPr>
                <w:lang w:val="en-US"/>
              </w:rPr>
            </w:pPr>
            <w:r w:rsidRPr="00C21D1F">
              <w:rPr>
                <w:lang w:val="en-US"/>
              </w:rPr>
              <w:t>-</w:t>
            </w:r>
            <w:r w:rsidRPr="00C21D1F">
              <w:rPr>
                <w:lang w:val="en-US"/>
              </w:rPr>
              <w:tab/>
            </w:r>
            <w:proofErr w:type="spellStart"/>
            <w:r w:rsidRPr="00C21D1F">
              <w:rPr>
                <w:lang w:val="en-US"/>
              </w:rPr>
              <w:t>Conferencia</w:t>
            </w:r>
            <w:proofErr w:type="spellEnd"/>
            <w:r w:rsidRPr="00C21D1F">
              <w:rPr>
                <w:lang w:val="en-US"/>
              </w:rPr>
              <w:t xml:space="preserve"> </w:t>
            </w:r>
            <w:proofErr w:type="spellStart"/>
            <w:r w:rsidRPr="00C21D1F">
              <w:rPr>
                <w:lang w:val="en-US"/>
              </w:rPr>
              <w:t>titulada</w:t>
            </w:r>
            <w:proofErr w:type="spellEnd"/>
            <w:r w:rsidRPr="00C21D1F">
              <w:rPr>
                <w:lang w:val="en-US"/>
              </w:rPr>
              <w:t xml:space="preserve"> Double taxation in the UE, </w:t>
            </w:r>
            <w:proofErr w:type="spellStart"/>
            <w:r w:rsidRPr="00C21D1F">
              <w:rPr>
                <w:lang w:val="en-US"/>
              </w:rPr>
              <w:t>dentro</w:t>
            </w:r>
            <w:proofErr w:type="spellEnd"/>
            <w:r w:rsidRPr="00C21D1F">
              <w:rPr>
                <w:lang w:val="en-US"/>
              </w:rPr>
              <w:t xml:space="preserve"> del </w:t>
            </w:r>
            <w:proofErr w:type="spellStart"/>
            <w:r w:rsidRPr="00C21D1F">
              <w:rPr>
                <w:lang w:val="en-US"/>
              </w:rPr>
              <w:t>curso</w:t>
            </w:r>
            <w:proofErr w:type="spellEnd"/>
            <w:r w:rsidRPr="00C21D1F">
              <w:rPr>
                <w:lang w:val="en-US"/>
              </w:rPr>
              <w:t xml:space="preserve"> Tax Harmonization in the European Union, Aggressive Tax Techniques and Fight against </w:t>
            </w:r>
            <w:r w:rsidRPr="00C21D1F">
              <w:rPr>
                <w:lang w:val="en-US"/>
              </w:rPr>
              <w:lastRenderedPageBreak/>
              <w:t>Tax Evasion BEPS, Tax Havens and Anti-Abuse Clauses in Double Taxation Conventions, Universidad de Harvard, 2014.</w:t>
            </w:r>
          </w:p>
        </w:tc>
      </w:tr>
      <w:tr w:rsidR="006D6661" w:rsidTr="00D17A1A">
        <w:tc>
          <w:tcPr>
            <w:tcW w:w="2972" w:type="dxa"/>
          </w:tcPr>
          <w:p w:rsidR="006D6661" w:rsidRPr="00D17A1A" w:rsidRDefault="006D6661">
            <w:pPr>
              <w:spacing w:line="240" w:lineRule="auto"/>
              <w:rPr>
                <w:color w:val="002060"/>
              </w:rPr>
            </w:pPr>
            <w:r w:rsidRPr="00D17A1A">
              <w:rPr>
                <w:color w:val="002060"/>
              </w:rPr>
              <w:lastRenderedPageBreak/>
              <w:t>Gestión</w:t>
            </w:r>
          </w:p>
        </w:tc>
        <w:tc>
          <w:tcPr>
            <w:tcW w:w="5522" w:type="dxa"/>
          </w:tcPr>
          <w:p w:rsidR="007936BC" w:rsidRDefault="007936BC" w:rsidP="007936BC">
            <w:pPr>
              <w:spacing w:line="240" w:lineRule="auto"/>
              <w:jc w:val="both"/>
            </w:pPr>
            <w:r>
              <w:t>1.</w:t>
            </w:r>
            <w:r>
              <w:tab/>
              <w:t>Becario FPI (MEC), Facultad de Derecho, Universidad de Córdoba, 01/01/1994 a 05/03/1998</w:t>
            </w:r>
          </w:p>
          <w:p w:rsidR="007936BC" w:rsidRDefault="007936BC" w:rsidP="007936BC">
            <w:pPr>
              <w:spacing w:line="240" w:lineRule="auto"/>
              <w:jc w:val="both"/>
            </w:pPr>
            <w:r>
              <w:t>2.</w:t>
            </w:r>
            <w:r>
              <w:tab/>
              <w:t>Profesor Ayudante de Facultad, Facultad de Derecho, Universidad de Córdoba, 06/03/1998 a 28/10/1999.</w:t>
            </w:r>
          </w:p>
          <w:p w:rsidR="007936BC" w:rsidRDefault="007936BC" w:rsidP="007936BC">
            <w:pPr>
              <w:spacing w:line="240" w:lineRule="auto"/>
              <w:jc w:val="both"/>
            </w:pPr>
            <w:r>
              <w:t>3.</w:t>
            </w:r>
            <w:r>
              <w:tab/>
              <w:t>Profesor Titular de Derecho Financiero y Tributario, Facultad de Derecho, Universidad de Vigo, 29/10/1999 a 01/09/2005</w:t>
            </w:r>
          </w:p>
          <w:p w:rsidR="007936BC" w:rsidRDefault="007936BC" w:rsidP="007936BC">
            <w:pPr>
              <w:spacing w:line="240" w:lineRule="auto"/>
              <w:jc w:val="both"/>
            </w:pPr>
            <w:r>
              <w:t>4.</w:t>
            </w:r>
            <w:r>
              <w:tab/>
              <w:t>Profesor Asociado de Derecho Financiero y Tributario, Facultad de Derecho, UCM, 21/11/2007 a 30/06/2008</w:t>
            </w:r>
          </w:p>
          <w:p w:rsidR="006D6661" w:rsidRPr="00D17A1A" w:rsidRDefault="007936BC" w:rsidP="007936BC">
            <w:pPr>
              <w:spacing w:line="240" w:lineRule="auto"/>
              <w:jc w:val="both"/>
            </w:pPr>
            <w:r>
              <w:t>5.</w:t>
            </w:r>
            <w:r>
              <w:tab/>
              <w:t>Profesor Asociado de Derecho Financiero y Tributario, Facultad de Derecho, UCM, curso 2015/2016,  2016/2017, 2018/2019</w:t>
            </w:r>
            <w:r w:rsidR="007E3757">
              <w:t>, 2019/2020</w:t>
            </w:r>
            <w:bookmarkStart w:id="0" w:name="_GoBack"/>
            <w:bookmarkEnd w:id="0"/>
          </w:p>
        </w:tc>
      </w:tr>
      <w:tr w:rsidR="000C273A" w:rsidTr="00D17A1A">
        <w:tc>
          <w:tcPr>
            <w:tcW w:w="2972" w:type="dxa"/>
            <w:hideMark/>
          </w:tcPr>
          <w:p w:rsidR="000C273A" w:rsidRDefault="000C273A">
            <w:pPr>
              <w:spacing w:line="240" w:lineRule="auto"/>
            </w:pPr>
            <w:r>
              <w:rPr>
                <w:color w:val="002060"/>
              </w:rPr>
              <w:t>Investigación (solo en el caso de que se tenga)</w:t>
            </w:r>
          </w:p>
        </w:tc>
        <w:tc>
          <w:tcPr>
            <w:tcW w:w="5522" w:type="dxa"/>
            <w:hideMark/>
          </w:tcPr>
          <w:p w:rsidR="00C21D1F" w:rsidRDefault="00C21D1F" w:rsidP="00C21D1F">
            <w:pPr>
              <w:spacing w:line="240" w:lineRule="auto"/>
            </w:pPr>
            <w:r>
              <w:t>2 sexenios reconocidos.</w:t>
            </w:r>
          </w:p>
          <w:p w:rsidR="00C21D1F" w:rsidRDefault="00C21D1F" w:rsidP="00C21D1F">
            <w:pPr>
              <w:spacing w:line="240" w:lineRule="auto"/>
            </w:pPr>
            <w:r w:rsidRPr="00C21D1F">
              <w:t>Los resultados de la actividad investigadora se plasman en un buen número de publicaciones: 14 libros, de los que 6 son en solitario y otros 8 en coautoría, 40 capítulos de libros y 90 artículos de revista. Asimismo, he participado en diferentes proyectos de investigación</w:t>
            </w:r>
            <w:r>
              <w:t>.</w:t>
            </w:r>
          </w:p>
          <w:p w:rsidR="00C21D1F" w:rsidRDefault="00C21D1F" w:rsidP="00C21D1F">
            <w:pPr>
              <w:spacing w:line="240" w:lineRule="auto"/>
            </w:pPr>
            <w:r w:rsidRPr="00C21D1F">
              <w:rPr>
                <w:b/>
              </w:rPr>
              <w:t>Principales líneas de investigación</w:t>
            </w:r>
            <w:r>
              <w:t>: Obligados tributarios, Pago de las obligaciones tributarias, Procedimientos tributarios, Revisión de oficio en materia tributaria, Imposición indirecta, Imposición sobre Sociedades, Fiscalidad internacional, Haciendas Locales, Gasto público: financiación de infraestructuras, Gasto público: presupuesto.</w:t>
            </w:r>
          </w:p>
          <w:p w:rsidR="00C21D1F" w:rsidRPr="00C21D1F" w:rsidRDefault="00C21D1F" w:rsidP="00C21D1F">
            <w:pPr>
              <w:spacing w:line="240" w:lineRule="auto"/>
              <w:rPr>
                <w:b/>
              </w:rPr>
            </w:pPr>
            <w:r w:rsidRPr="00C21D1F">
              <w:rPr>
                <w:b/>
              </w:rPr>
              <w:t>Monografías</w:t>
            </w:r>
          </w:p>
          <w:p w:rsidR="00C21D1F" w:rsidRDefault="00C21D1F" w:rsidP="00C21D1F">
            <w:pPr>
              <w:spacing w:line="240" w:lineRule="auto"/>
            </w:pPr>
            <w:r>
              <w:t>-</w:t>
            </w:r>
            <w:r>
              <w:tab/>
              <w:t>El interés de demora en la Ley General Tributaria, Marcial Pons, 1999.</w:t>
            </w:r>
          </w:p>
          <w:p w:rsidR="00C21D1F" w:rsidRDefault="00C21D1F" w:rsidP="00C21D1F">
            <w:pPr>
              <w:spacing w:line="240" w:lineRule="auto"/>
            </w:pPr>
            <w:r>
              <w:t>-</w:t>
            </w:r>
            <w:r>
              <w:tab/>
              <w:t xml:space="preserve">El régimen tributario de los contratos de leasing y de </w:t>
            </w:r>
            <w:proofErr w:type="spellStart"/>
            <w:r>
              <w:t>renting</w:t>
            </w:r>
            <w:proofErr w:type="spellEnd"/>
            <w:r>
              <w:t xml:space="preserve"> con finalidad financiera, Marcial Pons, 2000.</w:t>
            </w:r>
          </w:p>
          <w:p w:rsidR="00C21D1F" w:rsidRDefault="00C21D1F" w:rsidP="00C21D1F">
            <w:pPr>
              <w:spacing w:line="240" w:lineRule="auto"/>
            </w:pPr>
            <w:r>
              <w:t>-</w:t>
            </w:r>
            <w:r>
              <w:tab/>
              <w:t>El Impuesto sobre el Valor Añadido en las operaciones inmobiliarias, Aranzadi, 2002</w:t>
            </w:r>
          </w:p>
          <w:p w:rsidR="00C21D1F" w:rsidRDefault="00C21D1F" w:rsidP="00C21D1F">
            <w:pPr>
              <w:spacing w:line="240" w:lineRule="auto"/>
            </w:pPr>
            <w:r>
              <w:t>-</w:t>
            </w:r>
            <w:r>
              <w:tab/>
              <w:t>La revisión de oficio en la nueva Ley General Tributaria, Aranzadi, 2004</w:t>
            </w:r>
          </w:p>
          <w:p w:rsidR="00C21D1F" w:rsidRDefault="00C21D1F" w:rsidP="00C21D1F">
            <w:pPr>
              <w:spacing w:line="240" w:lineRule="auto"/>
            </w:pPr>
            <w:r>
              <w:t>-</w:t>
            </w:r>
            <w:r>
              <w:tab/>
              <w:t>La protección de las personas discapacitadas a través del ordenamiento tributario. El patrimonio protegido de los discapacitados y otras medidas tributarias (junto a RUIZ HIDALGO, C.), Ministerio de Trabajo, 2004.</w:t>
            </w:r>
          </w:p>
          <w:p w:rsidR="00C21D1F" w:rsidRDefault="00C21D1F" w:rsidP="00C21D1F">
            <w:pPr>
              <w:spacing w:line="240" w:lineRule="auto"/>
            </w:pPr>
            <w:r>
              <w:t>-</w:t>
            </w:r>
            <w:r>
              <w:tab/>
              <w:t xml:space="preserve">Cuestiones tributarias de la ejecución del planeamiento urbanístico (junto a MARTIN FERNANDEZ, J.), </w:t>
            </w:r>
            <w:proofErr w:type="spellStart"/>
            <w:r>
              <w:t>Iustel</w:t>
            </w:r>
            <w:proofErr w:type="spellEnd"/>
            <w:r>
              <w:t>, 2005.</w:t>
            </w:r>
          </w:p>
          <w:p w:rsidR="00C21D1F" w:rsidRDefault="00C21D1F" w:rsidP="00C21D1F">
            <w:pPr>
              <w:spacing w:line="240" w:lineRule="auto"/>
            </w:pPr>
            <w:r>
              <w:t>-</w:t>
            </w:r>
            <w:r>
              <w:tab/>
              <w:t xml:space="preserve">Cuestiones tributarias y contables de las </w:t>
            </w:r>
            <w:r>
              <w:lastRenderedPageBreak/>
              <w:t xml:space="preserve">cooperativas  (junto a MARTIN FERNANDEZ, J.), </w:t>
            </w:r>
            <w:proofErr w:type="spellStart"/>
            <w:r>
              <w:t>Iustel</w:t>
            </w:r>
            <w:proofErr w:type="spellEnd"/>
            <w:r>
              <w:t>, 2006.</w:t>
            </w:r>
          </w:p>
          <w:p w:rsidR="00C21D1F" w:rsidRDefault="00C21D1F" w:rsidP="00C21D1F">
            <w:pPr>
              <w:spacing w:line="240" w:lineRule="auto"/>
            </w:pPr>
            <w:r>
              <w:t>-</w:t>
            </w:r>
            <w:r>
              <w:tab/>
              <w:t>El IVA y los Ayuntamientos (junto a MARTIN FERNANDEZ y GARCÍA NOVOA), Aranzadi, 2006</w:t>
            </w:r>
          </w:p>
          <w:p w:rsidR="00C21D1F" w:rsidRDefault="00C21D1F" w:rsidP="00C21D1F">
            <w:pPr>
              <w:spacing w:line="240" w:lineRule="auto"/>
            </w:pPr>
            <w:r>
              <w:t>-</w:t>
            </w:r>
            <w:r>
              <w:tab/>
              <w:t>La colaboración público-privada en la financiación de las infraestructuras y servicios públicos. Una aproximación desde los principios jurídico-financieros (junto a JUAN LOZANO, A.), Instituto de Estudios Fiscales, 2006</w:t>
            </w:r>
          </w:p>
          <w:p w:rsidR="00C21D1F" w:rsidRDefault="00C21D1F" w:rsidP="00C21D1F">
            <w:pPr>
              <w:spacing w:line="240" w:lineRule="auto"/>
            </w:pPr>
            <w:r>
              <w:t>-</w:t>
            </w:r>
            <w:r>
              <w:tab/>
              <w:t>La Hacienda Pública y los procesos Concursales, Aranzadi, 2006.</w:t>
            </w:r>
          </w:p>
          <w:p w:rsidR="00C21D1F" w:rsidRDefault="00C21D1F" w:rsidP="00C21D1F">
            <w:pPr>
              <w:spacing w:line="240" w:lineRule="auto"/>
            </w:pPr>
            <w:r>
              <w:t>-</w:t>
            </w:r>
            <w:r>
              <w:tab/>
              <w:t>Los supuestos de no sujeción en el Impuesto sobre el Valor Añadido (junto a MARTIN FERNANDEZ, J.), Aranzadi, 2007</w:t>
            </w:r>
          </w:p>
          <w:p w:rsidR="00C21D1F" w:rsidRDefault="00C21D1F" w:rsidP="00C21D1F">
            <w:pPr>
              <w:spacing w:line="240" w:lineRule="auto"/>
            </w:pPr>
            <w:r>
              <w:t>-</w:t>
            </w:r>
            <w:r>
              <w:tab/>
              <w:t>El Impuesto sobre la Renta de las personas físicas: las actividades económicas, Tirant lo Blanch, 2008.</w:t>
            </w:r>
          </w:p>
          <w:p w:rsidR="00C21D1F" w:rsidRDefault="00C21D1F" w:rsidP="00C21D1F">
            <w:pPr>
              <w:spacing w:line="240" w:lineRule="auto"/>
            </w:pPr>
            <w:r>
              <w:t>-</w:t>
            </w:r>
            <w:r>
              <w:tab/>
              <w:t>Curso de Derecho Tributario: parte especial, sistema tributario, los tributos en particular (junto a FERREIRO LAPATZA, J.J. y MARTIN FERNANDEZ, J.), Marcial Pons, 2008.</w:t>
            </w:r>
          </w:p>
          <w:p w:rsidR="00C21D1F" w:rsidRDefault="00C21D1F" w:rsidP="00C21D1F">
            <w:pPr>
              <w:spacing w:line="240" w:lineRule="auto"/>
            </w:pPr>
            <w:r>
              <w:t>-</w:t>
            </w:r>
            <w:r>
              <w:tab/>
              <w:t>Manual de Derecho Financiero y Tributario Local (junto a MARTIN FERNANDEZ), Marcial Pons, 2009.</w:t>
            </w:r>
          </w:p>
          <w:p w:rsidR="00C21D1F" w:rsidRDefault="00C21D1F" w:rsidP="00C21D1F">
            <w:pPr>
              <w:spacing w:line="240" w:lineRule="auto"/>
            </w:pPr>
            <w:r>
              <w:t>-</w:t>
            </w:r>
            <w:r>
              <w:tab/>
              <w:t xml:space="preserve">La revelación de esquemas de planificación fiscal agresiva: Directiva de Intermediarios Fiscales, Francis </w:t>
            </w:r>
            <w:proofErr w:type="spellStart"/>
            <w:r>
              <w:t>Lefebvre</w:t>
            </w:r>
            <w:proofErr w:type="spellEnd"/>
            <w:r>
              <w:t>, 2018</w:t>
            </w:r>
          </w:p>
          <w:p w:rsidR="00C21D1F" w:rsidRDefault="00C21D1F" w:rsidP="00C21D1F">
            <w:pPr>
              <w:spacing w:line="240" w:lineRule="auto"/>
            </w:pPr>
          </w:p>
          <w:p w:rsidR="00C21D1F" w:rsidRDefault="00C21D1F" w:rsidP="00C21D1F">
            <w:pPr>
              <w:spacing w:line="240" w:lineRule="auto"/>
            </w:pPr>
            <w:r w:rsidRPr="00C21D1F">
              <w:rPr>
                <w:b/>
              </w:rPr>
              <w:t>Obras colectivas (selección</w:t>
            </w:r>
            <w:r>
              <w:t>)</w:t>
            </w:r>
          </w:p>
          <w:p w:rsidR="00C21D1F" w:rsidRDefault="00C21D1F" w:rsidP="00C21D1F">
            <w:pPr>
              <w:spacing w:line="240" w:lineRule="auto"/>
            </w:pPr>
          </w:p>
          <w:p w:rsidR="00C21D1F" w:rsidRDefault="00C21D1F" w:rsidP="00C21D1F">
            <w:pPr>
              <w:spacing w:line="240" w:lineRule="auto"/>
            </w:pPr>
            <w:r>
              <w:t>-</w:t>
            </w:r>
            <w:r>
              <w:tab/>
              <w:t xml:space="preserve">“El control del Presupuesto”, Manual General de Derecho Financiero. Tomos I y II, </w:t>
            </w:r>
            <w:proofErr w:type="spellStart"/>
            <w:r>
              <w:t>Comares</w:t>
            </w:r>
            <w:proofErr w:type="spellEnd"/>
            <w:r>
              <w:t>, 1998.</w:t>
            </w:r>
          </w:p>
          <w:p w:rsidR="00C21D1F" w:rsidRDefault="00C21D1F" w:rsidP="00C21D1F">
            <w:pPr>
              <w:spacing w:line="240" w:lineRule="auto"/>
            </w:pPr>
            <w:r>
              <w:t>-</w:t>
            </w:r>
            <w:r>
              <w:tab/>
              <w:t>“Consideraciones acerca de la coautoría y participación en infracciones tributarias”, XIX Jornadas Latinoamericanas de Derecho tributario, ILDT, 1998.</w:t>
            </w:r>
          </w:p>
          <w:p w:rsidR="00C21D1F" w:rsidRDefault="00C21D1F" w:rsidP="00C21D1F">
            <w:pPr>
              <w:spacing w:line="240" w:lineRule="auto"/>
            </w:pPr>
            <w:r>
              <w:t>-</w:t>
            </w:r>
            <w:r>
              <w:tab/>
              <w:t>“Obligación de resolver”, “Estado de tramitación de los procedimientos” y “Reclamaciones  económico-administrativas”, Comentarios a la Ley de Derechos y Garantías de los Contribuyentes, CEF, 1999.</w:t>
            </w:r>
          </w:p>
          <w:p w:rsidR="00C21D1F" w:rsidRDefault="00C21D1F" w:rsidP="00C21D1F">
            <w:pPr>
              <w:spacing w:line="240" w:lineRule="auto"/>
            </w:pPr>
            <w:r>
              <w:t>-</w:t>
            </w:r>
            <w:r>
              <w:tab/>
              <w:t xml:space="preserve">“El ciclo presupuestario (III).El control del Presupuesto”, Manual de Derecho Presupuestario, </w:t>
            </w:r>
            <w:proofErr w:type="spellStart"/>
            <w:r>
              <w:t>Comares</w:t>
            </w:r>
            <w:proofErr w:type="spellEnd"/>
            <w:r>
              <w:t>, 2001.</w:t>
            </w:r>
          </w:p>
          <w:p w:rsidR="00C21D1F" w:rsidRDefault="00C21D1F" w:rsidP="00C21D1F">
            <w:pPr>
              <w:spacing w:line="240" w:lineRule="auto"/>
            </w:pPr>
            <w:r>
              <w:t>-</w:t>
            </w:r>
            <w:r>
              <w:tab/>
              <w:t>“Deducción por actividades de investigación científica y tecnológica en el Impuesto de Sociedades”, Manual del Impuesto de Sociedades, IEF, 2003.</w:t>
            </w:r>
          </w:p>
          <w:p w:rsidR="00C21D1F" w:rsidRDefault="00C21D1F" w:rsidP="00C21D1F">
            <w:pPr>
              <w:spacing w:line="240" w:lineRule="auto"/>
            </w:pPr>
            <w:r>
              <w:t>-</w:t>
            </w:r>
            <w:r>
              <w:tab/>
              <w:t>“La titularidad de la empresa familiar”, Cuestiones tributarias de la empresa familiar, Marcial Pons, 2005.</w:t>
            </w:r>
          </w:p>
          <w:p w:rsidR="00C21D1F" w:rsidRDefault="00C21D1F" w:rsidP="00C21D1F">
            <w:pPr>
              <w:spacing w:line="240" w:lineRule="auto"/>
            </w:pPr>
            <w:r>
              <w:t>-</w:t>
            </w:r>
            <w:r>
              <w:tab/>
              <w:t>“El impuesto sobre Bienes Inmuebles”, Tributos locales y autonómicos, Aranzadi, 2006.</w:t>
            </w:r>
          </w:p>
          <w:p w:rsidR="00C21D1F" w:rsidRDefault="00C21D1F" w:rsidP="00C21D1F">
            <w:pPr>
              <w:spacing w:line="240" w:lineRule="auto"/>
            </w:pPr>
            <w:r>
              <w:lastRenderedPageBreak/>
              <w:t>-</w:t>
            </w:r>
            <w:r>
              <w:tab/>
              <w:t xml:space="preserve">“Base imponible (II)”: amortizaciones y régimen especial del arrendamiento financiero, El impuesto de sociedades y su reforma para el 2007, </w:t>
            </w:r>
            <w:proofErr w:type="spellStart"/>
            <w:r>
              <w:t>Cívitas</w:t>
            </w:r>
            <w:proofErr w:type="spellEnd"/>
            <w:r>
              <w:t>, 2006.</w:t>
            </w:r>
          </w:p>
          <w:p w:rsidR="00C21D1F" w:rsidRDefault="00C21D1F" w:rsidP="00C21D1F">
            <w:pPr>
              <w:spacing w:line="240" w:lineRule="auto"/>
            </w:pPr>
            <w:r>
              <w:t>-</w:t>
            </w:r>
            <w:r>
              <w:tab/>
              <w:t xml:space="preserve">“Derechos a que las actuaciones se desarrollen del modo menos gravoso y a no realizar aportaciones redundantes de documento”. El estado actual de los derechos y de las garantías de los contribuyentes en las haciendas locales, </w:t>
            </w:r>
            <w:proofErr w:type="spellStart"/>
            <w:r>
              <w:t>Cívitas</w:t>
            </w:r>
            <w:proofErr w:type="spellEnd"/>
            <w:r>
              <w:t>, 2007.</w:t>
            </w:r>
          </w:p>
          <w:p w:rsidR="00C21D1F" w:rsidRDefault="00C21D1F" w:rsidP="00C21D1F">
            <w:pPr>
              <w:spacing w:line="240" w:lineRule="auto"/>
            </w:pPr>
            <w:r>
              <w:t>-</w:t>
            </w:r>
            <w:r>
              <w:tab/>
              <w:t>“Aspectos controvertidos en el futuro sistema de financiación autonómica”. La financiación autonómica en los estatutos de autonomía, Marcial Pons, 2008.</w:t>
            </w:r>
          </w:p>
          <w:p w:rsidR="00C21D1F" w:rsidRDefault="00C21D1F" w:rsidP="00C21D1F">
            <w:pPr>
              <w:spacing w:line="240" w:lineRule="auto"/>
            </w:pPr>
            <w:r>
              <w:t>-</w:t>
            </w:r>
            <w:r>
              <w:tab/>
              <w:t>“La financiación de infraestructuras y el gasto público”. Análisis jurídico de los mecanismos de financiación de las infraestructuras públicas, IEF, 2008.</w:t>
            </w:r>
          </w:p>
          <w:p w:rsidR="00C21D1F" w:rsidRDefault="00C21D1F" w:rsidP="00C21D1F">
            <w:pPr>
              <w:spacing w:line="240" w:lineRule="auto"/>
            </w:pPr>
            <w:r>
              <w:t>-</w:t>
            </w:r>
            <w:r>
              <w:tab/>
              <w:t xml:space="preserve">“El régimen financiero de las universidades públicas”. Comentarios a la Ley orgánica de universidades, </w:t>
            </w:r>
            <w:proofErr w:type="spellStart"/>
            <w:r>
              <w:t>Cívitas</w:t>
            </w:r>
            <w:proofErr w:type="spellEnd"/>
            <w:r>
              <w:t>, 2008.</w:t>
            </w:r>
          </w:p>
          <w:p w:rsidR="00C21D1F" w:rsidRPr="00C21D1F" w:rsidRDefault="00C21D1F" w:rsidP="00C21D1F">
            <w:pPr>
              <w:spacing w:line="240" w:lineRule="auto"/>
              <w:rPr>
                <w:lang w:val="en-US"/>
              </w:rPr>
            </w:pPr>
            <w:r w:rsidRPr="00C21D1F">
              <w:rPr>
                <w:lang w:val="en-US"/>
              </w:rPr>
              <w:t>-</w:t>
            </w:r>
            <w:r w:rsidRPr="00C21D1F">
              <w:rPr>
                <w:lang w:val="en-US"/>
              </w:rPr>
              <w:tab/>
              <w:t xml:space="preserve">“Level of Coordination of Procedural”. Common consolidated Corporate Tax Base, Linde </w:t>
            </w:r>
            <w:proofErr w:type="spellStart"/>
            <w:r w:rsidRPr="00C21D1F">
              <w:rPr>
                <w:lang w:val="en-US"/>
              </w:rPr>
              <w:t>Verlag</w:t>
            </w:r>
            <w:proofErr w:type="spellEnd"/>
            <w:r w:rsidRPr="00C21D1F">
              <w:rPr>
                <w:lang w:val="en-US"/>
              </w:rPr>
              <w:t>, 2008</w:t>
            </w:r>
          </w:p>
          <w:p w:rsidR="00C21D1F" w:rsidRPr="00C21D1F" w:rsidRDefault="00C21D1F" w:rsidP="00C21D1F">
            <w:pPr>
              <w:spacing w:line="240" w:lineRule="auto"/>
              <w:rPr>
                <w:lang w:val="en-US"/>
              </w:rPr>
            </w:pPr>
            <w:r w:rsidRPr="00C21D1F">
              <w:rPr>
                <w:lang w:val="en-US"/>
              </w:rPr>
              <w:t>-</w:t>
            </w:r>
            <w:r w:rsidRPr="00C21D1F">
              <w:rPr>
                <w:lang w:val="en-US"/>
              </w:rPr>
              <w:tab/>
              <w:t>“Tax Liability in Business Acquisitions: A Disproportionate Anti-Abuse Clause for Recovery of Income Tax and VAT Claims”. Value Added Tax and Direct Taxation (Similarities and Differences), IBFD, 2009.</w:t>
            </w:r>
          </w:p>
          <w:p w:rsidR="00C21D1F" w:rsidRDefault="00C21D1F" w:rsidP="00C21D1F">
            <w:pPr>
              <w:spacing w:line="240" w:lineRule="auto"/>
            </w:pPr>
            <w:r>
              <w:t>-</w:t>
            </w:r>
            <w:r>
              <w:tab/>
              <w:t>“Los impuestos sobre las emisiones en el ámbito europeo: una reflexión para España”, Repercusiones tributarias de la ampliación de la UE, IEF, 2010.</w:t>
            </w:r>
          </w:p>
          <w:p w:rsidR="00C21D1F" w:rsidRDefault="00C21D1F" w:rsidP="00C21D1F">
            <w:pPr>
              <w:spacing w:line="240" w:lineRule="auto"/>
            </w:pPr>
            <w:r>
              <w:t>-</w:t>
            </w:r>
            <w:r>
              <w:tab/>
              <w:t>“Naturaleza, ámbito de aplicación, hecho imponible y concepto de empresario o profesional”, Comentarios a la Ley y Reglamento de IVA, Aranzadi, 2012.</w:t>
            </w:r>
          </w:p>
          <w:p w:rsidR="00C21D1F" w:rsidRDefault="00C21D1F" w:rsidP="00C21D1F">
            <w:pPr>
              <w:spacing w:line="240" w:lineRule="auto"/>
            </w:pPr>
            <w:r>
              <w:t>-</w:t>
            </w:r>
            <w:r>
              <w:tab/>
              <w:t>“El nivel óptimo de prestación de los servicios locales. La eficiencia de la planta municipal española”. Aspectos financieros de la reforma local, Tirant lo Blanch, 2014.</w:t>
            </w:r>
          </w:p>
          <w:p w:rsidR="00C21D1F" w:rsidRDefault="00C21D1F" w:rsidP="00C21D1F">
            <w:pPr>
              <w:spacing w:line="240" w:lineRule="auto"/>
            </w:pPr>
            <w:r>
              <w:t>-</w:t>
            </w:r>
            <w:r>
              <w:tab/>
              <w:t>Varios capítulos en La continuación de la reforma tributaria, Tirant lo Blanch, 2018.</w:t>
            </w:r>
          </w:p>
          <w:p w:rsidR="00C21D1F" w:rsidRDefault="00C21D1F" w:rsidP="00C21D1F">
            <w:pPr>
              <w:spacing w:line="240" w:lineRule="auto"/>
            </w:pPr>
            <w:r>
              <w:t>-</w:t>
            </w:r>
            <w:r>
              <w:tab/>
              <w:t xml:space="preserve">Varios capítulos en La prevención de  los delitos contra la Hacienda Pública y el blanqueo de capitales a través del </w:t>
            </w:r>
            <w:proofErr w:type="spellStart"/>
            <w:r>
              <w:t>compliance</w:t>
            </w:r>
            <w:proofErr w:type="spellEnd"/>
            <w:r>
              <w:t>: aspectos prácticos, Aranzadi, 2018.</w:t>
            </w:r>
          </w:p>
          <w:p w:rsidR="00C21D1F" w:rsidRDefault="00C21D1F" w:rsidP="00C21D1F">
            <w:pPr>
              <w:spacing w:line="240" w:lineRule="auto"/>
            </w:pPr>
          </w:p>
          <w:p w:rsidR="00C21D1F" w:rsidRDefault="00C21D1F" w:rsidP="00C21D1F">
            <w:pPr>
              <w:spacing w:line="240" w:lineRule="auto"/>
            </w:pPr>
            <w:r w:rsidRPr="00C21D1F">
              <w:rPr>
                <w:b/>
              </w:rPr>
              <w:t>Artículos</w:t>
            </w:r>
            <w:r>
              <w:t xml:space="preserve">: </w:t>
            </w:r>
          </w:p>
          <w:p w:rsidR="00C21D1F" w:rsidRDefault="00C21D1F" w:rsidP="00C21D1F">
            <w:pPr>
              <w:spacing w:line="240" w:lineRule="auto"/>
            </w:pPr>
            <w:r>
              <w:t>-</w:t>
            </w:r>
            <w:r>
              <w:tab/>
              <w:t>“La suspensión de pagos y el procedimiento administrativo de apremio”, RHL, 1995</w:t>
            </w:r>
          </w:p>
          <w:p w:rsidR="00C21D1F" w:rsidRDefault="00C21D1F" w:rsidP="00C21D1F">
            <w:pPr>
              <w:spacing w:line="240" w:lineRule="auto"/>
            </w:pPr>
            <w:r>
              <w:t>-</w:t>
            </w:r>
            <w:r>
              <w:tab/>
              <w:t>“La suspensión de la ejecución del acto tributario en vía de recurso y el interés de demora”, Impuestos, 1995</w:t>
            </w:r>
          </w:p>
          <w:p w:rsidR="00C21D1F" w:rsidRDefault="00C21D1F" w:rsidP="00C21D1F">
            <w:pPr>
              <w:spacing w:line="240" w:lineRule="auto"/>
            </w:pPr>
            <w:r>
              <w:t>-</w:t>
            </w:r>
            <w:r>
              <w:tab/>
              <w:t>“El sustituto en los tributos locales”, RHL, 1995.</w:t>
            </w:r>
          </w:p>
          <w:p w:rsidR="00C21D1F" w:rsidRDefault="00C21D1F" w:rsidP="00C21D1F">
            <w:pPr>
              <w:spacing w:line="240" w:lineRule="auto"/>
            </w:pPr>
            <w:r>
              <w:t>-</w:t>
            </w:r>
            <w:r>
              <w:tab/>
              <w:t>“La nueva regulación de la notificación de los actos de gestión tributaria”, Impuestos, 1999</w:t>
            </w:r>
          </w:p>
          <w:p w:rsidR="00C21D1F" w:rsidRDefault="00C21D1F" w:rsidP="00C21D1F">
            <w:pPr>
              <w:spacing w:line="240" w:lineRule="auto"/>
            </w:pPr>
            <w:r>
              <w:lastRenderedPageBreak/>
              <w:t>-</w:t>
            </w:r>
            <w:r>
              <w:tab/>
              <w:t>“La rectificación de errores de hechos o materiales y aritméticos en nuestra reciente jurisprudencia”, QF, 2000.</w:t>
            </w:r>
          </w:p>
          <w:p w:rsidR="00C21D1F" w:rsidRDefault="00C21D1F" w:rsidP="00C21D1F">
            <w:pPr>
              <w:spacing w:line="240" w:lineRule="auto"/>
            </w:pPr>
            <w:r>
              <w:t>-</w:t>
            </w:r>
            <w:r>
              <w:tab/>
              <w:t>“La ampliación de las actuaciones inspectoras a instancia del contribuyente”, Impuestos, 2000.</w:t>
            </w:r>
          </w:p>
          <w:p w:rsidR="00C21D1F" w:rsidRDefault="00C21D1F" w:rsidP="00C21D1F">
            <w:pPr>
              <w:spacing w:line="240" w:lineRule="auto"/>
            </w:pPr>
            <w:r>
              <w:t>-</w:t>
            </w:r>
            <w:r>
              <w:tab/>
              <w:t>“Sobre la sujeción al IVA de las adquisiciones en subasta judicial: estado de la cuestión a la luz de la jurisprudencia y de las últimas reformas normativas”, JT, 2001.</w:t>
            </w:r>
          </w:p>
          <w:p w:rsidR="00C21D1F" w:rsidRDefault="00C21D1F" w:rsidP="00C21D1F">
            <w:pPr>
              <w:spacing w:line="240" w:lineRule="auto"/>
            </w:pPr>
            <w:r>
              <w:t>-</w:t>
            </w:r>
            <w:r>
              <w:tab/>
              <w:t>“La compensación entre deudas y créditos tributarios de los cónyuges en el nuevo art. 80.6 de la LIRPF”, QF, 2002.</w:t>
            </w:r>
          </w:p>
          <w:p w:rsidR="00C21D1F" w:rsidRDefault="00C21D1F" w:rsidP="00C21D1F">
            <w:pPr>
              <w:spacing w:line="240" w:lineRule="auto"/>
            </w:pPr>
            <w:r>
              <w:t>-</w:t>
            </w:r>
            <w:r>
              <w:tab/>
              <w:t>“La adaptación del ordenamiento español a las últimas normas comunitarias acerca del gravamen indirecto del comercio electrónico”, RDFHP, 2003.</w:t>
            </w:r>
          </w:p>
          <w:p w:rsidR="00C21D1F" w:rsidRDefault="00C21D1F" w:rsidP="00C21D1F">
            <w:pPr>
              <w:spacing w:line="240" w:lineRule="auto"/>
            </w:pPr>
            <w:r>
              <w:t>-</w:t>
            </w:r>
            <w:r>
              <w:tab/>
              <w:t>“La colaboración de terceras personas en las infracciones tributarias: el caso particular de las entidades en régimen de atribución de rentas”, JT, 2003.</w:t>
            </w:r>
          </w:p>
          <w:p w:rsidR="00C21D1F" w:rsidRDefault="00C21D1F" w:rsidP="00C21D1F">
            <w:pPr>
              <w:spacing w:line="240" w:lineRule="auto"/>
            </w:pPr>
            <w:r>
              <w:t>-</w:t>
            </w:r>
            <w:r>
              <w:tab/>
              <w:t>“El régimen especial de entidades dedicadas al arrendamiento de viviendas”, QF, 2004.</w:t>
            </w:r>
          </w:p>
          <w:p w:rsidR="00C21D1F" w:rsidRDefault="00C21D1F" w:rsidP="00C21D1F">
            <w:pPr>
              <w:spacing w:line="240" w:lineRule="auto"/>
            </w:pPr>
            <w:r>
              <w:t>-</w:t>
            </w:r>
            <w:r>
              <w:tab/>
              <w:t>“El “Time-</w:t>
            </w:r>
            <w:proofErr w:type="spellStart"/>
            <w:r>
              <w:t>sharing</w:t>
            </w:r>
            <w:proofErr w:type="spellEnd"/>
            <w:r>
              <w:t>” en el IGIC”, HC, 2004.</w:t>
            </w:r>
          </w:p>
          <w:p w:rsidR="00C21D1F" w:rsidRDefault="00C21D1F" w:rsidP="00C21D1F">
            <w:pPr>
              <w:spacing w:line="240" w:lineRule="auto"/>
            </w:pPr>
            <w:r>
              <w:t>-</w:t>
            </w:r>
            <w:r>
              <w:tab/>
              <w:t>“La prescripción de la obligación del responsable en la nueva LGT”, NF, 2004.</w:t>
            </w:r>
          </w:p>
          <w:p w:rsidR="00C21D1F" w:rsidRDefault="00C21D1F" w:rsidP="00C21D1F">
            <w:pPr>
              <w:spacing w:line="240" w:lineRule="auto"/>
            </w:pPr>
            <w:r>
              <w:t>-</w:t>
            </w:r>
            <w:r>
              <w:tab/>
              <w:t>“El régimen especial de las entidades dedicadas al arrendamiento de viviendas”, QF, 2004.</w:t>
            </w:r>
          </w:p>
          <w:p w:rsidR="00C21D1F" w:rsidRDefault="00C21D1F" w:rsidP="00C21D1F">
            <w:pPr>
              <w:spacing w:line="240" w:lineRule="auto"/>
            </w:pPr>
            <w:r>
              <w:t>-</w:t>
            </w:r>
            <w:r>
              <w:tab/>
              <w:t>“La aportación de bienes privativos a la sociedad de gananciales”, JT, 2004.</w:t>
            </w:r>
          </w:p>
          <w:p w:rsidR="00C21D1F" w:rsidRDefault="00C21D1F" w:rsidP="00C21D1F">
            <w:pPr>
              <w:spacing w:line="240" w:lineRule="auto"/>
            </w:pPr>
            <w:r>
              <w:t>-</w:t>
            </w:r>
            <w:r>
              <w:tab/>
              <w:t>“La invalidez de los actos dictados al amparo de una Ordenanza fiscal declarada nula”, JT, 2004.</w:t>
            </w:r>
          </w:p>
          <w:p w:rsidR="00C21D1F" w:rsidRDefault="00C21D1F" w:rsidP="00C21D1F">
            <w:pPr>
              <w:spacing w:line="240" w:lineRule="auto"/>
            </w:pPr>
            <w:r>
              <w:t>-</w:t>
            </w:r>
            <w:r>
              <w:tab/>
              <w:t>“Cuestiones procedimentales del nuevo Reglamento general del régimen sancionador tributario”, Fiscal Mes a Mes, 2004.</w:t>
            </w:r>
          </w:p>
          <w:p w:rsidR="00C21D1F" w:rsidRDefault="00C21D1F" w:rsidP="00C21D1F">
            <w:pPr>
              <w:spacing w:line="240" w:lineRule="auto"/>
            </w:pPr>
            <w:r>
              <w:t>-</w:t>
            </w:r>
            <w:r>
              <w:tab/>
              <w:t xml:space="preserve"> “La tardanza en la ejecución de los fallos administrativos o judiciales en los procedimientos de inspección tributaria”, Fiscal Mes a Mes, 2005.</w:t>
            </w:r>
          </w:p>
          <w:p w:rsidR="00C21D1F" w:rsidRPr="00C21D1F" w:rsidRDefault="00C21D1F" w:rsidP="00C21D1F">
            <w:pPr>
              <w:spacing w:line="240" w:lineRule="auto"/>
              <w:rPr>
                <w:lang w:val="en-US"/>
              </w:rPr>
            </w:pPr>
            <w:r w:rsidRPr="00C21D1F">
              <w:rPr>
                <w:lang w:val="en-US"/>
              </w:rPr>
              <w:t>-</w:t>
            </w:r>
            <w:r w:rsidRPr="00C21D1F">
              <w:rPr>
                <w:lang w:val="en-US"/>
              </w:rPr>
              <w:tab/>
              <w:t xml:space="preserve">“EU Law doctrine about “collection measures” in the VAT: its application for company </w:t>
            </w:r>
            <w:proofErr w:type="spellStart"/>
            <w:r w:rsidRPr="00C21D1F">
              <w:rPr>
                <w:lang w:val="en-US"/>
              </w:rPr>
              <w:t>succesion</w:t>
            </w:r>
            <w:proofErr w:type="spellEnd"/>
            <w:r w:rsidRPr="00C21D1F">
              <w:rPr>
                <w:lang w:val="en-US"/>
              </w:rPr>
              <w:t xml:space="preserve"> or transfer”, EC Tax R, 2005.</w:t>
            </w:r>
          </w:p>
          <w:p w:rsidR="00C21D1F" w:rsidRDefault="00C21D1F" w:rsidP="00C21D1F">
            <w:pPr>
              <w:spacing w:line="240" w:lineRule="auto"/>
            </w:pPr>
            <w:r>
              <w:t>-</w:t>
            </w:r>
            <w:r>
              <w:tab/>
              <w:t>“Un nuevo problema en el supuesto de responsabilidad de las personas o entidades que contratan o subcontratan una obra o servicio: el caso particular de la Diputación Foral de Vizcaya”, JT, 2005.</w:t>
            </w:r>
          </w:p>
          <w:p w:rsidR="00C21D1F" w:rsidRDefault="00C21D1F" w:rsidP="00C21D1F">
            <w:pPr>
              <w:spacing w:line="240" w:lineRule="auto"/>
            </w:pPr>
            <w:r>
              <w:t>-</w:t>
            </w:r>
            <w:r>
              <w:tab/>
              <w:t>“El IVA en el proceso urbanístico: un análisis a la luz de la jurisprudencia y doctrina administrativa”, Documentos de trabajo IEF, 2006.</w:t>
            </w:r>
          </w:p>
          <w:p w:rsidR="00C21D1F" w:rsidRDefault="00C21D1F" w:rsidP="00C21D1F">
            <w:pPr>
              <w:spacing w:line="240" w:lineRule="auto"/>
            </w:pPr>
            <w:r>
              <w:t>-</w:t>
            </w:r>
            <w:r>
              <w:tab/>
              <w:t xml:space="preserve">“El Impuesto sobre el Valor Añadido y la relación que une a  deportistas profesionales y sus clubes: especial </w:t>
            </w:r>
            <w:r>
              <w:lastRenderedPageBreak/>
              <w:t>referencia a la cesión de derechos de imagen”, Revista Jurídica del Deporte, 2007.</w:t>
            </w:r>
          </w:p>
          <w:p w:rsidR="00C21D1F" w:rsidRDefault="00C21D1F" w:rsidP="00C21D1F">
            <w:pPr>
              <w:spacing w:line="240" w:lineRule="auto"/>
            </w:pPr>
            <w:r>
              <w:t>-</w:t>
            </w:r>
            <w:r>
              <w:tab/>
              <w:t>“Los tributos portuarios en Galicia: medidas dirigidas a la protección del medio ambiente”, Noticias UE, 2007</w:t>
            </w:r>
          </w:p>
          <w:p w:rsidR="00C21D1F" w:rsidRDefault="00C21D1F" w:rsidP="00C21D1F">
            <w:pPr>
              <w:spacing w:line="240" w:lineRule="auto"/>
            </w:pPr>
            <w:r>
              <w:t>-</w:t>
            </w:r>
            <w:r>
              <w:tab/>
              <w:t>“La polémica en torno a la sujeción al IVA de la participación de los clubes en las quinielas”, JT, 2008.</w:t>
            </w:r>
          </w:p>
          <w:p w:rsidR="00C21D1F" w:rsidRDefault="00C21D1F" w:rsidP="00C21D1F">
            <w:pPr>
              <w:spacing w:line="240" w:lineRule="auto"/>
            </w:pPr>
            <w:r>
              <w:t>-</w:t>
            </w:r>
            <w:r>
              <w:tab/>
              <w:t xml:space="preserve">“Los sistemas de colaboración público-privada para la provisión de bienes y servicios públicos. Su incidencia en el sistema de ingresos públicos”, Revista Española de Control Externo, 2008. </w:t>
            </w:r>
          </w:p>
          <w:p w:rsidR="00C21D1F" w:rsidRDefault="00C21D1F" w:rsidP="00C21D1F">
            <w:pPr>
              <w:spacing w:line="240" w:lineRule="auto"/>
            </w:pPr>
            <w:r>
              <w:t>-</w:t>
            </w:r>
            <w:r>
              <w:tab/>
              <w:t>“El abuso de derecho en el ámbito del IVA: una nueva precisión en la doctrina elaborada por la jurisprudencia comunitaria”, QF, 2008.</w:t>
            </w:r>
          </w:p>
          <w:p w:rsidR="00C21D1F" w:rsidRDefault="00C21D1F" w:rsidP="00C21D1F">
            <w:pPr>
              <w:spacing w:line="240" w:lineRule="auto"/>
            </w:pPr>
            <w:r>
              <w:t>-</w:t>
            </w:r>
            <w:r>
              <w:tab/>
              <w:t>“La adecuación de las cuotas de IVA soportadas por los sujetos pasivos que realizan actividades económicas y actividades no económicas: jurisprudencia del TJCE”, QF, 2009.</w:t>
            </w:r>
          </w:p>
          <w:p w:rsidR="00C21D1F" w:rsidRPr="00C21D1F" w:rsidRDefault="00C21D1F" w:rsidP="00C21D1F">
            <w:pPr>
              <w:spacing w:line="240" w:lineRule="auto"/>
              <w:rPr>
                <w:lang w:val="en-US"/>
              </w:rPr>
            </w:pPr>
            <w:r w:rsidRPr="00C21D1F">
              <w:rPr>
                <w:lang w:val="en-US"/>
              </w:rPr>
              <w:t>-</w:t>
            </w:r>
            <w:r w:rsidRPr="00C21D1F">
              <w:rPr>
                <w:lang w:val="en-US"/>
              </w:rPr>
              <w:tab/>
              <w:t>“VAT Fraud and Emissions Allowances”, EC Tax R, 2010</w:t>
            </w:r>
          </w:p>
          <w:p w:rsidR="00C21D1F" w:rsidRDefault="00C21D1F" w:rsidP="00C21D1F">
            <w:pPr>
              <w:spacing w:line="240" w:lineRule="auto"/>
            </w:pPr>
            <w:r>
              <w:t>-</w:t>
            </w:r>
            <w:r>
              <w:tab/>
              <w:t>“Una primera aproximación crítica a la Propuesta de Directiva del Consejo relativa a una Base Imponible Común Consolidada del Impuesto sobre Sociedades (BICCIS), CT, 2011.</w:t>
            </w:r>
          </w:p>
          <w:p w:rsidR="00C21D1F" w:rsidRDefault="00C21D1F" w:rsidP="00C21D1F">
            <w:pPr>
              <w:spacing w:line="240" w:lineRule="auto"/>
            </w:pPr>
            <w:r>
              <w:t>-</w:t>
            </w:r>
            <w:r>
              <w:tab/>
              <w:t>“El concepto de empresario a efectos del Impuesto sobre el Valor Añadido”, Noticias UE, 2012.</w:t>
            </w:r>
          </w:p>
          <w:p w:rsidR="00C21D1F" w:rsidRDefault="00C21D1F" w:rsidP="00C21D1F">
            <w:pPr>
              <w:spacing w:line="240" w:lineRule="auto"/>
            </w:pPr>
            <w:r>
              <w:t>-</w:t>
            </w:r>
            <w:r>
              <w:tab/>
              <w:t>“Notas para una racionalización competencial en el nivel local”, Cuadernos Manuel Giménez Abad, 2012</w:t>
            </w:r>
          </w:p>
          <w:p w:rsidR="00C21D1F" w:rsidRDefault="00C21D1F" w:rsidP="00C21D1F">
            <w:pPr>
              <w:spacing w:line="240" w:lineRule="auto"/>
            </w:pPr>
            <w:r>
              <w:t>-</w:t>
            </w:r>
            <w:r>
              <w:tab/>
              <w:t>“Ideas para una reforma fiscal en España”, El Cronista, 2014</w:t>
            </w:r>
          </w:p>
          <w:p w:rsidR="00C21D1F" w:rsidRDefault="00C21D1F" w:rsidP="00C21D1F">
            <w:pPr>
              <w:spacing w:line="240" w:lineRule="auto"/>
            </w:pPr>
            <w:r>
              <w:t>-</w:t>
            </w:r>
            <w:r>
              <w:tab/>
              <w:t>“Diseño de programas presupuestarios y vinculación con la planificación”, Banco Interamericano de Desarrollo, en prensa.</w:t>
            </w:r>
          </w:p>
          <w:p w:rsidR="00C21D1F" w:rsidRDefault="00C21D1F" w:rsidP="00C21D1F">
            <w:pPr>
              <w:spacing w:line="240" w:lineRule="auto"/>
            </w:pPr>
          </w:p>
          <w:p w:rsidR="00C21D1F" w:rsidRDefault="00C21D1F" w:rsidP="00C21D1F">
            <w:pPr>
              <w:spacing w:line="240" w:lineRule="auto"/>
            </w:pPr>
            <w:r w:rsidRPr="00C21D1F">
              <w:rPr>
                <w:b/>
              </w:rPr>
              <w:t>Proyectos de investigación</w:t>
            </w:r>
            <w:r>
              <w:t xml:space="preserve"> (selección)</w:t>
            </w:r>
          </w:p>
          <w:p w:rsidR="00C21D1F" w:rsidRDefault="00C21D1F" w:rsidP="00C21D1F">
            <w:pPr>
              <w:spacing w:line="240" w:lineRule="auto"/>
            </w:pPr>
          </w:p>
          <w:p w:rsidR="00C21D1F" w:rsidRDefault="00C21D1F" w:rsidP="00C21D1F">
            <w:pPr>
              <w:spacing w:line="240" w:lineRule="auto"/>
            </w:pPr>
            <w:r>
              <w:t>He participado en los siguientes proyectos de investigación:</w:t>
            </w:r>
          </w:p>
          <w:p w:rsidR="00C21D1F" w:rsidRDefault="00C21D1F" w:rsidP="00C21D1F">
            <w:pPr>
              <w:spacing w:line="240" w:lineRule="auto"/>
            </w:pPr>
          </w:p>
          <w:p w:rsidR="00C21D1F" w:rsidRDefault="00C21D1F" w:rsidP="00C21D1F">
            <w:pPr>
              <w:spacing w:line="240" w:lineRule="auto"/>
            </w:pPr>
            <w:r>
              <w:t>-</w:t>
            </w:r>
            <w:r>
              <w:tab/>
              <w:t>Xunta de Galicia: “Perspectivas de futuro del sistema financiero gallego. Implicaciones fiscales de la fusión de las cajas de ahorro y del proceso de armonización comunitario”, con referencia PGIDT00SCX38101PR.</w:t>
            </w:r>
          </w:p>
          <w:p w:rsidR="00C21D1F" w:rsidRDefault="00C21D1F" w:rsidP="00C21D1F">
            <w:pPr>
              <w:spacing w:line="240" w:lineRule="auto"/>
            </w:pPr>
          </w:p>
          <w:p w:rsidR="00C21D1F" w:rsidRDefault="00C21D1F" w:rsidP="00C21D1F">
            <w:pPr>
              <w:spacing w:line="240" w:lineRule="auto"/>
            </w:pPr>
            <w:r>
              <w:t>-</w:t>
            </w:r>
            <w:r>
              <w:tab/>
              <w:t>Xunta de Galicia: “</w:t>
            </w:r>
            <w:proofErr w:type="spellStart"/>
            <w:r>
              <w:t>Facenda</w:t>
            </w:r>
            <w:proofErr w:type="spellEnd"/>
            <w:r>
              <w:t xml:space="preserve"> autonómica e local no marco comunitario: pacto local e descentralización”, con </w:t>
            </w:r>
            <w:r>
              <w:lastRenderedPageBreak/>
              <w:t>referencia PGIDIT02CSO39901PR.</w:t>
            </w:r>
          </w:p>
          <w:p w:rsidR="00C21D1F" w:rsidRDefault="00C21D1F" w:rsidP="00C21D1F">
            <w:pPr>
              <w:spacing w:line="240" w:lineRule="auto"/>
            </w:pPr>
          </w:p>
          <w:p w:rsidR="00C21D1F" w:rsidRDefault="00C21D1F" w:rsidP="00C21D1F">
            <w:pPr>
              <w:spacing w:line="240" w:lineRule="auto"/>
            </w:pPr>
            <w:r>
              <w:t>-</w:t>
            </w:r>
            <w:r>
              <w:tab/>
              <w:t>Instituto de Estudios Fiscales: “La financiación público-privada de infraestructuras públicas”</w:t>
            </w:r>
          </w:p>
          <w:p w:rsidR="00C21D1F" w:rsidRDefault="00C21D1F" w:rsidP="00C21D1F">
            <w:pPr>
              <w:spacing w:line="240" w:lineRule="auto"/>
            </w:pPr>
          </w:p>
          <w:p w:rsidR="00C21D1F" w:rsidRDefault="00C21D1F" w:rsidP="00C21D1F">
            <w:pPr>
              <w:spacing w:line="240" w:lineRule="auto"/>
            </w:pPr>
            <w:r>
              <w:t>-</w:t>
            </w:r>
            <w:r>
              <w:tab/>
              <w:t>Ministerio de Educación y Ciencia: “La ampliación de la Unión Europea y sus repercusiones tributarias sobre las libertades comunitarias”, SEJ2007-65504</w:t>
            </w:r>
          </w:p>
          <w:p w:rsidR="00C21D1F" w:rsidRDefault="00C21D1F" w:rsidP="00C21D1F">
            <w:pPr>
              <w:spacing w:line="240" w:lineRule="auto"/>
            </w:pPr>
          </w:p>
          <w:p w:rsidR="00C21D1F" w:rsidRDefault="00C21D1F" w:rsidP="00C21D1F">
            <w:pPr>
              <w:spacing w:line="240" w:lineRule="auto"/>
            </w:pPr>
            <w:r>
              <w:t>-</w:t>
            </w:r>
            <w:r>
              <w:tab/>
              <w:t>Ministerio de Educación y Ciencia: “La fiscalidad de los derechos de emisión”, SEJ2007-61307</w:t>
            </w:r>
          </w:p>
          <w:p w:rsidR="00C21D1F" w:rsidRDefault="00C21D1F" w:rsidP="00C21D1F">
            <w:pPr>
              <w:spacing w:line="240" w:lineRule="auto"/>
            </w:pPr>
          </w:p>
          <w:p w:rsidR="00C21D1F" w:rsidRDefault="00C21D1F" w:rsidP="00C21D1F">
            <w:pPr>
              <w:spacing w:line="240" w:lineRule="auto"/>
            </w:pPr>
            <w:r>
              <w:t>-</w:t>
            </w:r>
            <w:r>
              <w:tab/>
              <w:t>Proyecto Europeo ETSA-CE: “Fiscalidad de la energía y ayudas de Estado”.</w:t>
            </w:r>
          </w:p>
          <w:p w:rsidR="00C21D1F" w:rsidRDefault="00C21D1F" w:rsidP="00C21D1F">
            <w:pPr>
              <w:spacing w:line="240" w:lineRule="auto"/>
            </w:pPr>
          </w:p>
          <w:p w:rsidR="00C21D1F" w:rsidRDefault="00C21D1F" w:rsidP="00C21D1F">
            <w:pPr>
              <w:spacing w:line="240" w:lineRule="auto"/>
            </w:pPr>
            <w:r>
              <w:t>-</w:t>
            </w:r>
            <w:r>
              <w:tab/>
              <w:t>Instituto de Estudios Fiscales: “La revelación obligatoria de esquemas de planificación fiscal agresiva: una propuesta para España”, en ejecución.</w:t>
            </w:r>
          </w:p>
          <w:p w:rsidR="00C21D1F" w:rsidRDefault="00C21D1F" w:rsidP="00C21D1F">
            <w:pPr>
              <w:spacing w:line="240" w:lineRule="auto"/>
            </w:pPr>
          </w:p>
        </w:tc>
      </w:tr>
      <w:tr w:rsidR="000C273A" w:rsidTr="00D17A1A">
        <w:tc>
          <w:tcPr>
            <w:tcW w:w="2972" w:type="dxa"/>
            <w:hideMark/>
          </w:tcPr>
          <w:p w:rsidR="000C273A" w:rsidRDefault="000C273A">
            <w:pPr>
              <w:spacing w:line="240" w:lineRule="auto"/>
            </w:pPr>
            <w:r>
              <w:rPr>
                <w:color w:val="002060"/>
              </w:rPr>
              <w:lastRenderedPageBreak/>
              <w:t>Otros</w:t>
            </w:r>
          </w:p>
        </w:tc>
        <w:tc>
          <w:tcPr>
            <w:tcW w:w="5522" w:type="dxa"/>
          </w:tcPr>
          <w:p w:rsidR="000C273A" w:rsidRDefault="000C273A">
            <w:pPr>
              <w:spacing w:line="240" w:lineRule="auto"/>
            </w:pPr>
          </w:p>
        </w:tc>
      </w:tr>
    </w:tbl>
    <w:p w:rsidR="00D17A1A" w:rsidRDefault="00D17A1A" w:rsidP="000C273A"/>
    <w:p w:rsidR="00D17A1A" w:rsidRDefault="00D17A1A" w:rsidP="000C273A">
      <w:r>
        <w:rPr>
          <w:noProof/>
          <w:lang w:eastAsia="es-ES"/>
        </w:rPr>
        <mc:AlternateContent>
          <mc:Choice Requires="wps">
            <w:drawing>
              <wp:anchor distT="0" distB="0" distL="114300" distR="114300" simplePos="0" relativeHeight="251659264" behindDoc="0" locked="0" layoutInCell="1" allowOverlap="1">
                <wp:simplePos x="0" y="0"/>
                <wp:positionH relativeFrom="column">
                  <wp:posOffset>837677</wp:posOffset>
                </wp:positionH>
                <wp:positionV relativeFrom="paragraph">
                  <wp:posOffset>159582</wp:posOffset>
                </wp:positionV>
                <wp:extent cx="45719" cy="687823"/>
                <wp:effectExtent l="19050" t="19050" r="31115" b="17145"/>
                <wp:wrapNone/>
                <wp:docPr id="3" name="Flecha arriba 3"/>
                <wp:cNvGraphicFramePr/>
                <a:graphic xmlns:a="http://schemas.openxmlformats.org/drawingml/2006/main">
                  <a:graphicData uri="http://schemas.microsoft.com/office/word/2010/wordprocessingShape">
                    <wps:wsp>
                      <wps:cNvSpPr/>
                      <wps:spPr>
                        <a:xfrm>
                          <a:off x="0" y="0"/>
                          <a:ext cx="45719" cy="687823"/>
                        </a:xfrm>
                        <a:prstGeom prst="upArrow">
                          <a:avLst/>
                        </a:prstGeom>
                        <a:solidFill>
                          <a:schemeClr val="accent2">
                            <a:lumMod val="50000"/>
                          </a:schemeClr>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shapetype w14:anchorId="3D893444"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Flecha arriba 3" o:spid="_x0000_s1026" type="#_x0000_t68" style="position:absolute;margin-left:65.95pt;margin-top:12.55pt;width:3.6pt;height:54.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" adj="718" fillcolor="#823b0b [1605]" strokecolor="#00b0f0" strokeweight="1pt"/>
            </w:pict>
          </mc:Fallback>
        </mc:AlternateContent>
      </w:r>
      <w:r>
        <w:t>Indicar: Más información</w:t>
      </w:r>
    </w:p>
    <w:p w:rsidR="00D17A1A" w:rsidRDefault="00D17A1A" w:rsidP="000C273A"/>
    <w:p w:rsidR="00D17A1A" w:rsidRDefault="00D17A1A" w:rsidP="000C273A"/>
    <w:p w:rsidR="00A65959" w:rsidRPr="000C273A" w:rsidRDefault="0032010E" w:rsidP="000C273A">
      <w:proofErr w:type="spellStart"/>
      <w:r>
        <w:t>Hipervincular</w:t>
      </w:r>
      <w:proofErr w:type="spellEnd"/>
      <w:r>
        <w:t xml:space="preserve"> e</w:t>
      </w:r>
      <w:r w:rsidR="00D17A1A">
        <w:t>n el caso que se tuviese el CV del Ministerio</w:t>
      </w:r>
      <w:r w:rsidR="007447AE">
        <w:t xml:space="preserve">, </w:t>
      </w:r>
      <w:r>
        <w:t>si no se tiene eliminar.</w:t>
      </w:r>
    </w:p>
    <w:sectPr w:rsidR="00A65959" w:rsidRPr="000C273A">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BBD" w:rsidRDefault="00A46BBD" w:rsidP="00404839">
      <w:pPr>
        <w:spacing w:after="0" w:line="240" w:lineRule="auto"/>
      </w:pPr>
      <w:r>
        <w:separator/>
      </w:r>
    </w:p>
  </w:endnote>
  <w:endnote w:type="continuationSeparator" w:id="0">
    <w:p w:rsidR="00A46BBD" w:rsidRDefault="00A46BBD" w:rsidP="00404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509" w:rsidRDefault="0061450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509" w:rsidRDefault="00614509">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509" w:rsidRDefault="0061450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BBD" w:rsidRDefault="00A46BBD" w:rsidP="00404839">
      <w:pPr>
        <w:spacing w:after="0" w:line="240" w:lineRule="auto"/>
      </w:pPr>
      <w:r>
        <w:separator/>
      </w:r>
    </w:p>
  </w:footnote>
  <w:footnote w:type="continuationSeparator" w:id="0">
    <w:p w:rsidR="00A46BBD" w:rsidRDefault="00A46BBD" w:rsidP="004048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509" w:rsidRDefault="0061450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5947"/>
    </w:tblGrid>
    <w:tr w:rsidR="00E96B2A" w:rsidTr="00E96B2A">
      <w:tc>
        <w:tcPr>
          <w:tcW w:w="2547" w:type="dxa"/>
        </w:tcPr>
        <w:p w:rsidR="00E96B2A" w:rsidRDefault="00E96B2A">
          <w:pPr>
            <w:pStyle w:val="Encabezado"/>
          </w:pPr>
          <w:r w:rsidRPr="00E96B2A">
            <w:rPr>
              <w:noProof/>
              <w:lang w:eastAsia="es-ES"/>
            </w:rPr>
            <w:drawing>
              <wp:inline distT="0" distB="0" distL="0" distR="0">
                <wp:extent cx="1440000" cy="1076400"/>
                <wp:effectExtent l="0" t="0" r="8255" b="0"/>
                <wp:docPr id="1" name="Imagen 1" descr="C:\Users\encenc\Downloads\ESCUDO COLOR UCM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ncenc\Downloads\ESCUDO COLOR UCM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000" cy="1076400"/>
                        </a:xfrm>
                        <a:prstGeom prst="rect">
                          <a:avLst/>
                        </a:prstGeom>
                        <a:noFill/>
                        <a:ln>
                          <a:noFill/>
                        </a:ln>
                      </pic:spPr>
                    </pic:pic>
                  </a:graphicData>
                </a:graphic>
              </wp:inline>
            </w:drawing>
          </w:r>
        </w:p>
      </w:tc>
      <w:tc>
        <w:tcPr>
          <w:tcW w:w="5947" w:type="dxa"/>
        </w:tcPr>
        <w:p w:rsidR="00E96B2A" w:rsidRDefault="00E96B2A">
          <w:pPr>
            <w:pStyle w:val="Encabezado"/>
          </w:pPr>
        </w:p>
        <w:p w:rsidR="00E96B2A" w:rsidRDefault="00E96B2A">
          <w:pPr>
            <w:pStyle w:val="Encabezado"/>
          </w:pPr>
        </w:p>
        <w:p w:rsidR="00E96B2A" w:rsidRPr="00E96B2A" w:rsidRDefault="00E96B2A">
          <w:pPr>
            <w:pStyle w:val="Encabezado"/>
            <w:rPr>
              <w:sz w:val="32"/>
              <w:szCs w:val="32"/>
            </w:rPr>
          </w:pPr>
          <w:r w:rsidRPr="00E96B2A">
            <w:rPr>
              <w:sz w:val="32"/>
              <w:szCs w:val="32"/>
            </w:rPr>
            <w:t xml:space="preserve">FACULTAD DE </w:t>
          </w:r>
          <w:proofErr w:type="spellStart"/>
          <w:r w:rsidRPr="00E96B2A">
            <w:rPr>
              <w:sz w:val="32"/>
              <w:szCs w:val="32"/>
            </w:rPr>
            <w:t>xxxxxxxxxxxxxxxxxxxxxxx</w:t>
          </w:r>
          <w:proofErr w:type="spellEnd"/>
        </w:p>
      </w:tc>
    </w:tr>
  </w:tbl>
  <w:p w:rsidR="00404839" w:rsidRDefault="00404839">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4509" w:rsidRDefault="0061450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3444A"/>
    <w:multiLevelType w:val="hybridMultilevel"/>
    <w:tmpl w:val="0AF23E06"/>
    <w:lvl w:ilvl="0" w:tplc="76643792">
      <w:start w:val="1"/>
      <w:numFmt w:val="bullet"/>
      <w:lvlText w:val="­"/>
      <w:lvlJc w:val="right"/>
      <w:pPr>
        <w:ind w:left="720" w:hanging="360"/>
      </w:pPr>
      <w:rPr>
        <w:rFonts w:ascii="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nsid w:val="3A9826E8"/>
    <w:multiLevelType w:val="hybridMultilevel"/>
    <w:tmpl w:val="8FA88494"/>
    <w:lvl w:ilvl="0" w:tplc="035AE29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4C971098"/>
    <w:multiLevelType w:val="hybridMultilevel"/>
    <w:tmpl w:val="A642BFEE"/>
    <w:lvl w:ilvl="0" w:tplc="A834661C">
      <w:numFmt w:val="bullet"/>
      <w:lvlText w:val="-"/>
      <w:lvlJc w:val="left"/>
      <w:pPr>
        <w:ind w:left="819" w:hanging="360"/>
      </w:pPr>
      <w:rPr>
        <w:rFonts w:ascii="Calibri" w:eastAsiaTheme="minorHAnsi" w:hAnsi="Calibri" w:cstheme="minorBidi" w:hint="default"/>
      </w:rPr>
    </w:lvl>
    <w:lvl w:ilvl="1" w:tplc="0C0A0003" w:tentative="1">
      <w:start w:val="1"/>
      <w:numFmt w:val="bullet"/>
      <w:lvlText w:val="o"/>
      <w:lvlJc w:val="left"/>
      <w:pPr>
        <w:ind w:left="1539" w:hanging="360"/>
      </w:pPr>
      <w:rPr>
        <w:rFonts w:ascii="Courier New" w:hAnsi="Courier New" w:cs="Courier New" w:hint="default"/>
      </w:rPr>
    </w:lvl>
    <w:lvl w:ilvl="2" w:tplc="0C0A0005" w:tentative="1">
      <w:start w:val="1"/>
      <w:numFmt w:val="bullet"/>
      <w:lvlText w:val=""/>
      <w:lvlJc w:val="left"/>
      <w:pPr>
        <w:ind w:left="2259" w:hanging="360"/>
      </w:pPr>
      <w:rPr>
        <w:rFonts w:ascii="Wingdings" w:hAnsi="Wingdings" w:hint="default"/>
      </w:rPr>
    </w:lvl>
    <w:lvl w:ilvl="3" w:tplc="0C0A0001" w:tentative="1">
      <w:start w:val="1"/>
      <w:numFmt w:val="bullet"/>
      <w:lvlText w:val=""/>
      <w:lvlJc w:val="left"/>
      <w:pPr>
        <w:ind w:left="2979" w:hanging="360"/>
      </w:pPr>
      <w:rPr>
        <w:rFonts w:ascii="Symbol" w:hAnsi="Symbol" w:hint="default"/>
      </w:rPr>
    </w:lvl>
    <w:lvl w:ilvl="4" w:tplc="0C0A0003" w:tentative="1">
      <w:start w:val="1"/>
      <w:numFmt w:val="bullet"/>
      <w:lvlText w:val="o"/>
      <w:lvlJc w:val="left"/>
      <w:pPr>
        <w:ind w:left="3699" w:hanging="360"/>
      </w:pPr>
      <w:rPr>
        <w:rFonts w:ascii="Courier New" w:hAnsi="Courier New" w:cs="Courier New" w:hint="default"/>
      </w:rPr>
    </w:lvl>
    <w:lvl w:ilvl="5" w:tplc="0C0A0005" w:tentative="1">
      <w:start w:val="1"/>
      <w:numFmt w:val="bullet"/>
      <w:lvlText w:val=""/>
      <w:lvlJc w:val="left"/>
      <w:pPr>
        <w:ind w:left="4419" w:hanging="360"/>
      </w:pPr>
      <w:rPr>
        <w:rFonts w:ascii="Wingdings" w:hAnsi="Wingdings" w:hint="default"/>
      </w:rPr>
    </w:lvl>
    <w:lvl w:ilvl="6" w:tplc="0C0A0001" w:tentative="1">
      <w:start w:val="1"/>
      <w:numFmt w:val="bullet"/>
      <w:lvlText w:val=""/>
      <w:lvlJc w:val="left"/>
      <w:pPr>
        <w:ind w:left="5139" w:hanging="360"/>
      </w:pPr>
      <w:rPr>
        <w:rFonts w:ascii="Symbol" w:hAnsi="Symbol" w:hint="default"/>
      </w:rPr>
    </w:lvl>
    <w:lvl w:ilvl="7" w:tplc="0C0A0003" w:tentative="1">
      <w:start w:val="1"/>
      <w:numFmt w:val="bullet"/>
      <w:lvlText w:val="o"/>
      <w:lvlJc w:val="left"/>
      <w:pPr>
        <w:ind w:left="5859" w:hanging="360"/>
      </w:pPr>
      <w:rPr>
        <w:rFonts w:ascii="Courier New" w:hAnsi="Courier New" w:cs="Courier New" w:hint="default"/>
      </w:rPr>
    </w:lvl>
    <w:lvl w:ilvl="8" w:tplc="0C0A0005" w:tentative="1">
      <w:start w:val="1"/>
      <w:numFmt w:val="bullet"/>
      <w:lvlText w:val=""/>
      <w:lvlJc w:val="left"/>
      <w:pPr>
        <w:ind w:left="6579" w:hanging="360"/>
      </w:pPr>
      <w:rPr>
        <w:rFonts w:ascii="Wingdings" w:hAnsi="Wingdings" w:hint="default"/>
      </w:rPr>
    </w:lvl>
  </w:abstractNum>
  <w:abstractNum w:abstractNumId="3">
    <w:nsid w:val="52C7593B"/>
    <w:multiLevelType w:val="hybridMultilevel"/>
    <w:tmpl w:val="09AA059C"/>
    <w:lvl w:ilvl="0" w:tplc="76643792">
      <w:start w:val="1"/>
      <w:numFmt w:val="bullet"/>
      <w:lvlText w:val="­"/>
      <w:lvlJc w:val="right"/>
      <w:pPr>
        <w:ind w:left="720" w:hanging="360"/>
      </w:pPr>
      <w:rPr>
        <w:rFonts w:ascii="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nsid w:val="560E0FA0"/>
    <w:multiLevelType w:val="hybridMultilevel"/>
    <w:tmpl w:val="2EC48F94"/>
    <w:lvl w:ilvl="0" w:tplc="76643792">
      <w:start w:val="1"/>
      <w:numFmt w:val="bullet"/>
      <w:lvlText w:val="­"/>
      <w:lvlJc w:val="right"/>
      <w:pPr>
        <w:ind w:left="720" w:hanging="360"/>
      </w:pPr>
      <w:rPr>
        <w:rFonts w:ascii="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nsid w:val="7F455D81"/>
    <w:multiLevelType w:val="hybridMultilevel"/>
    <w:tmpl w:val="DC52D326"/>
    <w:lvl w:ilvl="0" w:tplc="AE9C3AA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73A"/>
    <w:rsid w:val="000C273A"/>
    <w:rsid w:val="0032010E"/>
    <w:rsid w:val="00404839"/>
    <w:rsid w:val="00614509"/>
    <w:rsid w:val="006A1693"/>
    <w:rsid w:val="006D6661"/>
    <w:rsid w:val="007447AE"/>
    <w:rsid w:val="0077529E"/>
    <w:rsid w:val="007936BC"/>
    <w:rsid w:val="007E3757"/>
    <w:rsid w:val="009306ED"/>
    <w:rsid w:val="00985844"/>
    <w:rsid w:val="00A40489"/>
    <w:rsid w:val="00A46BBD"/>
    <w:rsid w:val="00A65959"/>
    <w:rsid w:val="00AA2542"/>
    <w:rsid w:val="00C21D1F"/>
    <w:rsid w:val="00C54200"/>
    <w:rsid w:val="00C86BE0"/>
    <w:rsid w:val="00CA625B"/>
    <w:rsid w:val="00D17A1A"/>
    <w:rsid w:val="00D760CD"/>
    <w:rsid w:val="00E96B2A"/>
    <w:rsid w:val="00EB41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73A"/>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C273A"/>
    <w:pPr>
      <w:ind w:left="720"/>
      <w:contextualSpacing/>
    </w:pPr>
  </w:style>
  <w:style w:type="table" w:styleId="Tablaconcuadrcula">
    <w:name w:val="Table Grid"/>
    <w:basedOn w:val="Tablanormal"/>
    <w:uiPriority w:val="39"/>
    <w:rsid w:val="000C273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0483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04839"/>
  </w:style>
  <w:style w:type="paragraph" w:styleId="Piedepgina">
    <w:name w:val="footer"/>
    <w:basedOn w:val="Normal"/>
    <w:link w:val="PiedepginaCar"/>
    <w:uiPriority w:val="99"/>
    <w:unhideWhenUsed/>
    <w:rsid w:val="004048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04839"/>
  </w:style>
  <w:style w:type="paragraph" w:styleId="Textodeglobo">
    <w:name w:val="Balloon Text"/>
    <w:basedOn w:val="Normal"/>
    <w:link w:val="TextodegloboCar"/>
    <w:uiPriority w:val="99"/>
    <w:semiHidden/>
    <w:unhideWhenUsed/>
    <w:rsid w:val="006D666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D6661"/>
    <w:rPr>
      <w:rFonts w:ascii="Tahoma" w:hAnsi="Tahoma" w:cs="Tahoma"/>
      <w:sz w:val="16"/>
      <w:szCs w:val="16"/>
    </w:rPr>
  </w:style>
  <w:style w:type="character" w:styleId="Refdecomentario">
    <w:name w:val="annotation reference"/>
    <w:basedOn w:val="Fuentedeprrafopredeter"/>
    <w:uiPriority w:val="99"/>
    <w:semiHidden/>
    <w:unhideWhenUsed/>
    <w:rsid w:val="00D17A1A"/>
    <w:rPr>
      <w:sz w:val="16"/>
      <w:szCs w:val="16"/>
    </w:rPr>
  </w:style>
  <w:style w:type="paragraph" w:styleId="Textocomentario">
    <w:name w:val="annotation text"/>
    <w:basedOn w:val="Normal"/>
    <w:link w:val="TextocomentarioCar"/>
    <w:uiPriority w:val="99"/>
    <w:semiHidden/>
    <w:unhideWhenUsed/>
    <w:rsid w:val="00D17A1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17A1A"/>
    <w:rPr>
      <w:sz w:val="20"/>
      <w:szCs w:val="20"/>
    </w:rPr>
  </w:style>
  <w:style w:type="paragraph" w:styleId="Asuntodelcomentario">
    <w:name w:val="annotation subject"/>
    <w:basedOn w:val="Textocomentario"/>
    <w:next w:val="Textocomentario"/>
    <w:link w:val="AsuntodelcomentarioCar"/>
    <w:uiPriority w:val="99"/>
    <w:semiHidden/>
    <w:unhideWhenUsed/>
    <w:rsid w:val="00D17A1A"/>
    <w:rPr>
      <w:b/>
      <w:bCs/>
    </w:rPr>
  </w:style>
  <w:style w:type="character" w:customStyle="1" w:styleId="AsuntodelcomentarioCar">
    <w:name w:val="Asunto del comentario Car"/>
    <w:basedOn w:val="TextocomentarioCar"/>
    <w:link w:val="Asuntodelcomentario"/>
    <w:uiPriority w:val="99"/>
    <w:semiHidden/>
    <w:rsid w:val="00D17A1A"/>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73A"/>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C273A"/>
    <w:pPr>
      <w:ind w:left="720"/>
      <w:contextualSpacing/>
    </w:pPr>
  </w:style>
  <w:style w:type="table" w:styleId="Tablaconcuadrcula">
    <w:name w:val="Table Grid"/>
    <w:basedOn w:val="Tablanormal"/>
    <w:uiPriority w:val="39"/>
    <w:rsid w:val="000C273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0483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04839"/>
  </w:style>
  <w:style w:type="paragraph" w:styleId="Piedepgina">
    <w:name w:val="footer"/>
    <w:basedOn w:val="Normal"/>
    <w:link w:val="PiedepginaCar"/>
    <w:uiPriority w:val="99"/>
    <w:unhideWhenUsed/>
    <w:rsid w:val="004048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04839"/>
  </w:style>
  <w:style w:type="paragraph" w:styleId="Textodeglobo">
    <w:name w:val="Balloon Text"/>
    <w:basedOn w:val="Normal"/>
    <w:link w:val="TextodegloboCar"/>
    <w:uiPriority w:val="99"/>
    <w:semiHidden/>
    <w:unhideWhenUsed/>
    <w:rsid w:val="006D666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D6661"/>
    <w:rPr>
      <w:rFonts w:ascii="Tahoma" w:hAnsi="Tahoma" w:cs="Tahoma"/>
      <w:sz w:val="16"/>
      <w:szCs w:val="16"/>
    </w:rPr>
  </w:style>
  <w:style w:type="character" w:styleId="Refdecomentario">
    <w:name w:val="annotation reference"/>
    <w:basedOn w:val="Fuentedeprrafopredeter"/>
    <w:uiPriority w:val="99"/>
    <w:semiHidden/>
    <w:unhideWhenUsed/>
    <w:rsid w:val="00D17A1A"/>
    <w:rPr>
      <w:sz w:val="16"/>
      <w:szCs w:val="16"/>
    </w:rPr>
  </w:style>
  <w:style w:type="paragraph" w:styleId="Textocomentario">
    <w:name w:val="annotation text"/>
    <w:basedOn w:val="Normal"/>
    <w:link w:val="TextocomentarioCar"/>
    <w:uiPriority w:val="99"/>
    <w:semiHidden/>
    <w:unhideWhenUsed/>
    <w:rsid w:val="00D17A1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17A1A"/>
    <w:rPr>
      <w:sz w:val="20"/>
      <w:szCs w:val="20"/>
    </w:rPr>
  </w:style>
  <w:style w:type="paragraph" w:styleId="Asuntodelcomentario">
    <w:name w:val="annotation subject"/>
    <w:basedOn w:val="Textocomentario"/>
    <w:next w:val="Textocomentario"/>
    <w:link w:val="AsuntodelcomentarioCar"/>
    <w:uiPriority w:val="99"/>
    <w:semiHidden/>
    <w:unhideWhenUsed/>
    <w:rsid w:val="00D17A1A"/>
    <w:rPr>
      <w:b/>
      <w:bCs/>
    </w:rPr>
  </w:style>
  <w:style w:type="character" w:customStyle="1" w:styleId="AsuntodelcomentarioCar">
    <w:name w:val="Asunto del comentario Car"/>
    <w:basedOn w:val="TextocomentarioCar"/>
    <w:link w:val="Asuntodelcomentario"/>
    <w:uiPriority w:val="99"/>
    <w:semiHidden/>
    <w:rsid w:val="00D17A1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756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F5A44-F968-4BCD-982F-1AF21912E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1986</Words>
  <Characters>10925</Characters>
  <Application>Microsoft Office Word</Application>
  <DocSecurity>4</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FJ-Martin</Company>
  <LinksUpToDate>false</LinksUpToDate>
  <CharactersWithSpaces>12886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ENCARNACION ENCABO DESCALZO</dc:creator>
  <cp:lastModifiedBy>Jesus Rodriguez Marquez</cp:lastModifiedBy>
  <cp:revision>2</cp:revision>
  <dcterms:created xsi:type="dcterms:W3CDTF">2020-02-10T16:21:00Z</dcterms:created>
  <dcterms:modified xsi:type="dcterms:W3CDTF">2020-02-10T16:21:00Z</dcterms:modified>
</cp:coreProperties>
</file>